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04" w:rsidRPr="00457B84" w:rsidRDefault="00FB2304" w:rsidP="00FB2304">
      <w:pPr>
        <w:pStyle w:val="Heading1"/>
      </w:pPr>
      <w:bookmarkStart w:id="0" w:name="_GoBack"/>
      <w:bookmarkEnd w:id="0"/>
      <w:r w:rsidRPr="00457B84">
        <w:t>Abstract</w:t>
      </w:r>
    </w:p>
    <w:p w:rsidR="00FB2304" w:rsidRPr="00052A4C" w:rsidRDefault="00FB2304" w:rsidP="00FB2304">
      <w:pPr>
        <w:pStyle w:val="Dissertationtext"/>
        <w:rPr>
          <w:lang w:eastAsia="en-GB"/>
        </w:rPr>
      </w:pPr>
      <w:r w:rsidRPr="00052A4C">
        <w:rPr>
          <w:lang w:eastAsia="en-GB"/>
        </w:rPr>
        <w:t>This study examined disabled people</w:t>
      </w:r>
      <w:r>
        <w:rPr>
          <w:lang w:eastAsia="en-GB"/>
        </w:rPr>
        <w:t>’s</w:t>
      </w:r>
      <w:r w:rsidRPr="00052A4C">
        <w:rPr>
          <w:lang w:eastAsia="en-GB"/>
        </w:rPr>
        <w:t xml:space="preserve"> access to independent living in Scotland and Norway. </w:t>
      </w:r>
      <w:r>
        <w:rPr>
          <w:lang w:eastAsia="en-GB"/>
        </w:rPr>
        <w:t>At</w:t>
      </w:r>
      <w:r w:rsidRPr="00052A4C">
        <w:rPr>
          <w:lang w:eastAsia="en-GB"/>
        </w:rPr>
        <w:t xml:space="preserve"> the time of </w:t>
      </w:r>
      <w:r>
        <w:rPr>
          <w:lang w:eastAsia="en-GB"/>
        </w:rPr>
        <w:t>the field work for this</w:t>
      </w:r>
      <w:r w:rsidRPr="00052A4C">
        <w:rPr>
          <w:lang w:eastAsia="en-GB"/>
        </w:rPr>
        <w:t xml:space="preserve"> research</w:t>
      </w:r>
      <w:r>
        <w:rPr>
          <w:lang w:eastAsia="en-GB"/>
        </w:rPr>
        <w:t xml:space="preserve"> in 2012</w:t>
      </w:r>
      <w:r w:rsidRPr="00052A4C">
        <w:rPr>
          <w:lang w:eastAsia="en-GB"/>
        </w:rPr>
        <w:t xml:space="preserve">, the literature revealed no comparable social enquiry </w:t>
      </w:r>
      <w:r>
        <w:rPr>
          <w:lang w:eastAsia="en-GB"/>
        </w:rPr>
        <w:t>combining the</w:t>
      </w:r>
      <w:r w:rsidRPr="00052A4C">
        <w:rPr>
          <w:lang w:eastAsia="en-GB"/>
        </w:rPr>
        <w:t xml:space="preserve"> concepts of citizenship, independent living and governance. Within disability studies, independent living denotes a perspective that recognises the interconnected nature of life areas that affect lived experiences of disablement and inclusion of disabled citizens. From th</w:t>
      </w:r>
      <w:r>
        <w:rPr>
          <w:lang w:eastAsia="en-GB"/>
        </w:rPr>
        <w:t>e independent living movement, C</w:t>
      </w:r>
      <w:r w:rsidRPr="00052A4C">
        <w:rPr>
          <w:lang w:eastAsia="en-GB"/>
        </w:rPr>
        <w:t xml:space="preserve">entres for </w:t>
      </w:r>
      <w:r>
        <w:rPr>
          <w:lang w:eastAsia="en-GB"/>
        </w:rPr>
        <w:t>Inclusive L</w:t>
      </w:r>
      <w:r w:rsidRPr="00052A4C">
        <w:rPr>
          <w:lang w:eastAsia="en-GB"/>
        </w:rPr>
        <w:t>iving emerged as unique governance structures with</w:t>
      </w:r>
      <w:r>
        <w:rPr>
          <w:lang w:eastAsia="en-GB"/>
        </w:rPr>
        <w:t xml:space="preserve"> full service-user involvement and</w:t>
      </w:r>
      <w:r w:rsidRPr="00052A4C">
        <w:rPr>
          <w:lang w:eastAsia="en-GB"/>
        </w:rPr>
        <w:t xml:space="preserve"> run by disabled people for disabled people.</w:t>
      </w:r>
    </w:p>
    <w:p w:rsidR="00FB2304" w:rsidRPr="00052A4C" w:rsidRDefault="00FB2304" w:rsidP="00FB2304">
      <w:pPr>
        <w:pStyle w:val="Dissertationtext"/>
        <w:rPr>
          <w:lang w:eastAsia="en-GB"/>
        </w:rPr>
      </w:pPr>
      <w:r w:rsidRPr="00052A4C">
        <w:rPr>
          <w:lang w:eastAsia="en-GB"/>
        </w:rPr>
        <w:t>T</w:t>
      </w:r>
      <w:r>
        <w:rPr>
          <w:lang w:eastAsia="en-GB"/>
        </w:rPr>
        <w:t>his</w:t>
      </w:r>
      <w:r w:rsidRPr="00052A4C">
        <w:rPr>
          <w:lang w:eastAsia="en-GB"/>
        </w:rPr>
        <w:t xml:space="preserve"> study focused upon to what extent the organisational governance structures in the Glasgow Centre for Inclusive Living (GCIL) and Uloba Centre for Independent Living</w:t>
      </w:r>
      <w:r>
        <w:rPr>
          <w:lang w:eastAsia="en-GB"/>
        </w:rPr>
        <w:t xml:space="preserve"> (Uloba) in Norway</w:t>
      </w:r>
      <w:r w:rsidRPr="00052A4C">
        <w:rPr>
          <w:lang w:eastAsia="en-GB"/>
        </w:rPr>
        <w:t xml:space="preserve"> facilitate or impede disabled people</w:t>
      </w:r>
      <w:r>
        <w:rPr>
          <w:lang w:eastAsia="en-GB"/>
        </w:rPr>
        <w:t>’s</w:t>
      </w:r>
      <w:r w:rsidRPr="00052A4C">
        <w:rPr>
          <w:lang w:eastAsia="en-GB"/>
        </w:rPr>
        <w:t xml:space="preserve"> access to independent living. The methodology adopted a </w:t>
      </w:r>
      <w:r>
        <w:rPr>
          <w:lang w:eastAsia="en-GB"/>
        </w:rPr>
        <w:t xml:space="preserve">mixed </w:t>
      </w:r>
      <w:r w:rsidRPr="00052A4C">
        <w:rPr>
          <w:lang w:eastAsia="en-GB"/>
        </w:rPr>
        <w:t xml:space="preserve">methods approach. The central method involved organisational case studies </w:t>
      </w:r>
      <w:r>
        <w:rPr>
          <w:lang w:eastAsia="en-GB"/>
        </w:rPr>
        <w:t>with</w:t>
      </w:r>
      <w:r w:rsidRPr="00052A4C">
        <w:rPr>
          <w:lang w:eastAsia="en-GB"/>
        </w:rPr>
        <w:t xml:space="preserve"> GCIL and Uloba</w:t>
      </w:r>
      <w:r>
        <w:rPr>
          <w:lang w:eastAsia="en-GB"/>
        </w:rPr>
        <w:t>. This enabled an in-</w:t>
      </w:r>
      <w:r w:rsidRPr="00052A4C">
        <w:rPr>
          <w:lang w:eastAsia="en-GB"/>
        </w:rPr>
        <w:t xml:space="preserve">depth qualitative exploration through semi-structured interviews with the case study employees, service-user/co-owners and </w:t>
      </w:r>
      <w:r>
        <w:rPr>
          <w:lang w:eastAsia="en-GB"/>
        </w:rPr>
        <w:t>key experts within each country. In addition,</w:t>
      </w:r>
      <w:r w:rsidRPr="00052A4C">
        <w:rPr>
          <w:lang w:eastAsia="en-GB"/>
        </w:rPr>
        <w:t xml:space="preserve"> an online survey </w:t>
      </w:r>
      <w:r>
        <w:rPr>
          <w:lang w:eastAsia="en-GB"/>
        </w:rPr>
        <w:t xml:space="preserve">was </w:t>
      </w:r>
      <w:r w:rsidRPr="00052A4C">
        <w:rPr>
          <w:lang w:eastAsia="en-GB"/>
        </w:rPr>
        <w:t xml:space="preserve">distributed to </w:t>
      </w:r>
      <w:r>
        <w:rPr>
          <w:lang w:eastAsia="en-GB"/>
        </w:rPr>
        <w:t xml:space="preserve">other </w:t>
      </w:r>
      <w:r w:rsidRPr="00052A4C">
        <w:rPr>
          <w:lang w:eastAsia="en-GB"/>
        </w:rPr>
        <w:t>organisations that operated within the disability field.</w:t>
      </w:r>
    </w:p>
    <w:p w:rsidR="00FB2304" w:rsidRPr="00052A4C" w:rsidRDefault="00FB2304" w:rsidP="00FB2304">
      <w:pPr>
        <w:pStyle w:val="Dissertationtext"/>
        <w:rPr>
          <w:lang w:eastAsia="en-GB"/>
        </w:rPr>
      </w:pPr>
      <w:r w:rsidRPr="00052A4C">
        <w:rPr>
          <w:lang w:eastAsia="en-GB"/>
        </w:rPr>
        <w:t>The analytical framework used an integration of the social relational model of disability (Thomas, 1999) and meso level governance analysis (Lowe, 2004). The social relational model of disability provided structural (macro)</w:t>
      </w:r>
      <w:r>
        <w:rPr>
          <w:lang w:eastAsia="en-GB"/>
        </w:rPr>
        <w:t xml:space="preserve"> and </w:t>
      </w:r>
      <w:r w:rsidRPr="00052A4C">
        <w:rPr>
          <w:lang w:eastAsia="en-GB"/>
        </w:rPr>
        <w:t xml:space="preserve">agency (micro) level </w:t>
      </w:r>
      <w:r>
        <w:rPr>
          <w:lang w:eastAsia="en-GB"/>
        </w:rPr>
        <w:t>interpretations and</w:t>
      </w:r>
      <w:r w:rsidRPr="00052A4C">
        <w:rPr>
          <w:lang w:eastAsia="en-GB"/>
        </w:rPr>
        <w:t xml:space="preserve"> </w:t>
      </w:r>
      <w:r>
        <w:rPr>
          <w:lang w:eastAsia="en-GB"/>
        </w:rPr>
        <w:t xml:space="preserve">an </w:t>
      </w:r>
      <w:r w:rsidRPr="00052A4C">
        <w:rPr>
          <w:lang w:eastAsia="en-GB"/>
        </w:rPr>
        <w:t xml:space="preserve">emphasis </w:t>
      </w:r>
      <w:r>
        <w:rPr>
          <w:lang w:eastAsia="en-GB"/>
        </w:rPr>
        <w:t>on psycho</w:t>
      </w:r>
      <w:r w:rsidRPr="00052A4C">
        <w:rPr>
          <w:lang w:eastAsia="en-GB"/>
        </w:rPr>
        <w:t>social elements of disability</w:t>
      </w:r>
      <w:r>
        <w:rPr>
          <w:lang w:eastAsia="en-GB"/>
        </w:rPr>
        <w:t xml:space="preserve">.  It also </w:t>
      </w:r>
      <w:r w:rsidRPr="00052A4C">
        <w:rPr>
          <w:lang w:eastAsia="en-GB"/>
        </w:rPr>
        <w:t xml:space="preserve">enabled the synergy of a theory of impairment alongside a theory of disability. Meso </w:t>
      </w:r>
      <w:r w:rsidRPr="00052A4C">
        <w:rPr>
          <w:lang w:eastAsia="en-GB"/>
        </w:rPr>
        <w:lastRenderedPageBreak/>
        <w:t>(organisational) governance analysis focused attention</w:t>
      </w:r>
      <w:r>
        <w:rPr>
          <w:lang w:eastAsia="en-GB"/>
        </w:rPr>
        <w:t xml:space="preserve"> </w:t>
      </w:r>
      <w:r w:rsidRPr="00052A4C">
        <w:rPr>
          <w:lang w:eastAsia="en-GB"/>
        </w:rPr>
        <w:t>on the connections between organisations in society. This focus revealed the lateral relationships with other meso level bodies, macro institutions and micro individual action.</w:t>
      </w:r>
    </w:p>
    <w:p w:rsidR="00FB2304" w:rsidRDefault="00FB2304" w:rsidP="00FB2304">
      <w:pPr>
        <w:pStyle w:val="Dissertationtext"/>
        <w:rPr>
          <w:lang w:eastAsia="en-GB"/>
        </w:rPr>
      </w:pPr>
      <w:r w:rsidRPr="00052A4C">
        <w:rPr>
          <w:lang w:eastAsia="en-GB"/>
        </w:rPr>
        <w:t xml:space="preserve">Research participants prioritised the areas of peer support, accessible housing and personal assistance. Peer support </w:t>
      </w:r>
      <w:r>
        <w:rPr>
          <w:lang w:eastAsia="en-GB"/>
        </w:rPr>
        <w:t>was found to take both informal and</w:t>
      </w:r>
      <w:r w:rsidRPr="00052A4C">
        <w:rPr>
          <w:lang w:eastAsia="en-GB"/>
        </w:rPr>
        <w:t xml:space="preserve"> formal manifestations </w:t>
      </w:r>
      <w:r>
        <w:rPr>
          <w:lang w:eastAsia="en-GB"/>
        </w:rPr>
        <w:t>and</w:t>
      </w:r>
      <w:r w:rsidRPr="00052A4C">
        <w:rPr>
          <w:lang w:eastAsia="en-GB"/>
        </w:rPr>
        <w:t xml:space="preserve"> act</w:t>
      </w:r>
      <w:r>
        <w:rPr>
          <w:lang w:eastAsia="en-GB"/>
        </w:rPr>
        <w:t>ed</w:t>
      </w:r>
      <w:r w:rsidRPr="00052A4C">
        <w:rPr>
          <w:lang w:eastAsia="en-GB"/>
        </w:rPr>
        <w:t xml:space="preserve"> as a </w:t>
      </w:r>
      <w:r>
        <w:rPr>
          <w:lang w:eastAsia="en-GB"/>
        </w:rPr>
        <w:t>foundation</w:t>
      </w:r>
      <w:r w:rsidRPr="00052A4C">
        <w:rPr>
          <w:lang w:eastAsia="en-GB"/>
        </w:rPr>
        <w:t xml:space="preserve"> </w:t>
      </w:r>
      <w:r>
        <w:rPr>
          <w:lang w:eastAsia="en-GB"/>
        </w:rPr>
        <w:t>for</w:t>
      </w:r>
      <w:r w:rsidRPr="00052A4C">
        <w:rPr>
          <w:lang w:eastAsia="en-GB"/>
        </w:rPr>
        <w:t xml:space="preserve"> the other two areas of independent living. </w:t>
      </w:r>
      <w:r>
        <w:rPr>
          <w:lang w:eastAsia="en-GB"/>
        </w:rPr>
        <w:t>The findings highlighted that Centres for Inclusive L</w:t>
      </w:r>
      <w:r w:rsidRPr="00052A4C">
        <w:rPr>
          <w:lang w:eastAsia="en-GB"/>
        </w:rPr>
        <w:t>iving provide facilitation for access to independent living across macro, meso and micro tiers of society. In particular</w:t>
      </w:r>
      <w:r>
        <w:rPr>
          <w:lang w:eastAsia="en-GB"/>
        </w:rPr>
        <w:t>,</w:t>
      </w:r>
      <w:r w:rsidRPr="00052A4C">
        <w:rPr>
          <w:lang w:eastAsia="en-GB"/>
        </w:rPr>
        <w:t xml:space="preserve"> empowerment, peer support and user led governance formed key strategies that enhanced disabled people</w:t>
      </w:r>
      <w:r>
        <w:rPr>
          <w:lang w:eastAsia="en-GB"/>
        </w:rPr>
        <w:t>’s</w:t>
      </w:r>
      <w:r w:rsidRPr="00052A4C">
        <w:rPr>
          <w:lang w:eastAsia="en-GB"/>
        </w:rPr>
        <w:t xml:space="preserve"> access to independent living in Scotland and Norway.</w:t>
      </w:r>
    </w:p>
    <w:p w:rsidR="00FB2304" w:rsidRDefault="00FB2304"/>
    <w:sectPr w:rsidR="00FB2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04"/>
    <w:rsid w:val="007B3518"/>
    <w:rsid w:val="00FB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30FE9-4390-43CA-949C-565EB5CA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2304"/>
    <w:pPr>
      <w:keepNext/>
      <w:pageBreakBefore/>
      <w:widowControl w:val="0"/>
      <w:spacing w:before="240" w:after="360" w:line="240" w:lineRule="auto"/>
      <w:jc w:val="center"/>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304"/>
    <w:rPr>
      <w:rFonts w:ascii="Arial" w:eastAsia="Times New Roman" w:hAnsi="Arial" w:cs="Arial"/>
      <w:b/>
      <w:bCs/>
      <w:sz w:val="32"/>
      <w:szCs w:val="32"/>
    </w:rPr>
  </w:style>
  <w:style w:type="paragraph" w:customStyle="1" w:styleId="Dissertationtext">
    <w:name w:val="Dissertation text"/>
    <w:basedOn w:val="Normal"/>
    <w:qFormat/>
    <w:rsid w:val="00FB2304"/>
    <w:pPr>
      <w:spacing w:before="240" w:after="240" w:line="480" w:lineRule="auto"/>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Lawrence {psych}</dc:creator>
  <cp:keywords/>
  <dc:description/>
  <cp:lastModifiedBy>Dianne Theakstone</cp:lastModifiedBy>
  <cp:revision>2</cp:revision>
  <dcterms:created xsi:type="dcterms:W3CDTF">2018-07-19T15:52:00Z</dcterms:created>
  <dcterms:modified xsi:type="dcterms:W3CDTF">2018-07-19T15:52:00Z</dcterms:modified>
</cp:coreProperties>
</file>