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01282" w14:textId="77777777" w:rsidR="00311157" w:rsidRDefault="00311157" w:rsidP="00311157">
      <w:pPr>
        <w:rPr>
          <w:b/>
        </w:rPr>
      </w:pPr>
    </w:p>
    <w:p w14:paraId="0362C54B" w14:textId="77777777" w:rsidR="00311157" w:rsidRDefault="00311157" w:rsidP="00311157">
      <w:pPr>
        <w:rPr>
          <w:b/>
        </w:rPr>
      </w:pPr>
    </w:p>
    <w:p w14:paraId="7F378D56" w14:textId="77777777" w:rsidR="00311157" w:rsidRPr="00D71253" w:rsidRDefault="00311157" w:rsidP="00311157">
      <w:pPr>
        <w:jc w:val="center"/>
        <w:rPr>
          <w:b/>
          <w:sz w:val="36"/>
          <w:szCs w:val="36"/>
        </w:rPr>
      </w:pPr>
      <w:r w:rsidRPr="00D71253">
        <w:rPr>
          <w:b/>
          <w:sz w:val="36"/>
          <w:szCs w:val="36"/>
        </w:rPr>
        <w:t>Do extreme range estimators improve realized volatility</w:t>
      </w:r>
      <w:r>
        <w:rPr>
          <w:b/>
          <w:sz w:val="36"/>
          <w:szCs w:val="36"/>
        </w:rPr>
        <w:t xml:space="preserve"> forecasts</w:t>
      </w:r>
      <w:r w:rsidRPr="00D71253">
        <w:rPr>
          <w:b/>
          <w:sz w:val="36"/>
          <w:szCs w:val="36"/>
        </w:rPr>
        <w:t>? Evidence from G7 Stock Markets</w:t>
      </w:r>
    </w:p>
    <w:p w14:paraId="11360AD5" w14:textId="77777777" w:rsidR="00311157" w:rsidRDefault="00311157" w:rsidP="00311157">
      <w:pPr>
        <w:rPr>
          <w:b/>
        </w:rPr>
      </w:pPr>
    </w:p>
    <w:p w14:paraId="614A359D" w14:textId="77777777" w:rsidR="00311157" w:rsidRPr="0007541A" w:rsidRDefault="00311157" w:rsidP="00311157">
      <w:pPr>
        <w:jc w:val="center"/>
        <w:rPr>
          <w:bCs/>
        </w:rPr>
      </w:pPr>
      <w:proofErr w:type="spellStart"/>
      <w:r w:rsidRPr="0007541A">
        <w:rPr>
          <w:bCs/>
        </w:rPr>
        <w:t>Burak</w:t>
      </w:r>
      <w:proofErr w:type="spellEnd"/>
      <w:r w:rsidRPr="0007541A">
        <w:rPr>
          <w:bCs/>
        </w:rPr>
        <w:t xml:space="preserve"> </w:t>
      </w:r>
      <w:proofErr w:type="spellStart"/>
      <w:r w:rsidRPr="0007541A">
        <w:rPr>
          <w:bCs/>
        </w:rPr>
        <w:t>Korkusuz</w:t>
      </w:r>
      <w:proofErr w:type="spellEnd"/>
      <w:r w:rsidRPr="0007541A">
        <w:rPr>
          <w:bCs/>
        </w:rPr>
        <w:t xml:space="preserve">, </w:t>
      </w:r>
      <w:proofErr w:type="spellStart"/>
      <w:r w:rsidRPr="0007541A">
        <w:rPr>
          <w:bCs/>
        </w:rPr>
        <w:t>Dimos</w:t>
      </w:r>
      <w:proofErr w:type="spellEnd"/>
      <w:r w:rsidRPr="0007541A">
        <w:rPr>
          <w:bCs/>
        </w:rPr>
        <w:t xml:space="preserve"> </w:t>
      </w:r>
      <w:proofErr w:type="spellStart"/>
      <w:r w:rsidRPr="0007541A">
        <w:rPr>
          <w:bCs/>
        </w:rPr>
        <w:t>Kambouroudis</w:t>
      </w:r>
      <w:proofErr w:type="spellEnd"/>
      <w:r w:rsidRPr="0007541A">
        <w:rPr>
          <w:bCs/>
        </w:rPr>
        <w:t>, David G McMillan</w:t>
      </w:r>
    </w:p>
    <w:p w14:paraId="76F7B6A0" w14:textId="77777777" w:rsidR="00311157" w:rsidRPr="0007541A" w:rsidRDefault="00311157" w:rsidP="00311157">
      <w:pPr>
        <w:jc w:val="center"/>
        <w:rPr>
          <w:bCs/>
        </w:rPr>
      </w:pPr>
      <w:r w:rsidRPr="0007541A">
        <w:rPr>
          <w:bCs/>
        </w:rPr>
        <w:t>Division of Accounting and Finance</w:t>
      </w:r>
    </w:p>
    <w:p w14:paraId="18261C3A" w14:textId="77777777" w:rsidR="00311157" w:rsidRPr="0007541A" w:rsidRDefault="00311157" w:rsidP="00311157">
      <w:pPr>
        <w:jc w:val="center"/>
        <w:rPr>
          <w:bCs/>
        </w:rPr>
      </w:pPr>
      <w:r w:rsidRPr="0007541A">
        <w:rPr>
          <w:bCs/>
        </w:rPr>
        <w:t>University of Stirling</w:t>
      </w:r>
    </w:p>
    <w:p w14:paraId="0915998B" w14:textId="77777777" w:rsidR="00311157" w:rsidRDefault="00311157" w:rsidP="00311157">
      <w:pPr>
        <w:jc w:val="center"/>
        <w:rPr>
          <w:b/>
        </w:rPr>
      </w:pPr>
    </w:p>
    <w:p w14:paraId="28F009AD" w14:textId="5377DB8C" w:rsidR="00311157" w:rsidRPr="00E900EF" w:rsidRDefault="00311157" w:rsidP="00311157">
      <w:pPr>
        <w:jc w:val="center"/>
        <w:rPr>
          <w:bCs/>
        </w:rPr>
      </w:pPr>
      <w:r>
        <w:rPr>
          <w:bCs/>
        </w:rPr>
        <w:t>This version</w:t>
      </w:r>
      <w:r>
        <w:rPr>
          <w:bCs/>
        </w:rPr>
        <w:t xml:space="preserve"> April 2023</w:t>
      </w:r>
    </w:p>
    <w:p w14:paraId="1BB006AB" w14:textId="77777777" w:rsidR="00311157" w:rsidRDefault="00311157" w:rsidP="00311157">
      <w:pPr>
        <w:rPr>
          <w:b/>
        </w:rPr>
      </w:pPr>
    </w:p>
    <w:p w14:paraId="4AFC9946" w14:textId="77777777" w:rsidR="00311157" w:rsidRDefault="00311157" w:rsidP="00311157">
      <w:pPr>
        <w:rPr>
          <w:b/>
        </w:rPr>
      </w:pPr>
    </w:p>
    <w:p w14:paraId="5790F363" w14:textId="77777777" w:rsidR="00311157" w:rsidRDefault="00311157" w:rsidP="00311157">
      <w:pPr>
        <w:jc w:val="center"/>
        <w:rPr>
          <w:b/>
        </w:rPr>
      </w:pPr>
      <w:r>
        <w:rPr>
          <w:b/>
        </w:rPr>
        <w:t>Abstract</w:t>
      </w:r>
    </w:p>
    <w:p w14:paraId="6ED5F873" w14:textId="77777777" w:rsidR="00311157" w:rsidRDefault="00311157" w:rsidP="00311157">
      <w:pPr>
        <w:jc w:val="both"/>
      </w:pPr>
      <w:r>
        <w:t>This paper investigates whether range estimators contain important information in forecasting future realized volatility. We use widely applied range-based estimators: Parkinson, Garman-</w:t>
      </w:r>
      <w:proofErr w:type="spellStart"/>
      <w:r>
        <w:t>Klass</w:t>
      </w:r>
      <w:proofErr w:type="spellEnd"/>
      <w:r>
        <w:t>, Roger-Satchell, and Yang-Zhang within a HAR-RV-X framework. Overnight volatility and close-to-close volatility estimators are also included, and the forecasting exercise is applied to G7 stock markets using a rolling window. Using QLIKE, HMSE and MCS forecast criteria, several noteworthy points are reported. The overall findings suggest that while no single model dominates, overnight return volatility achieves the most consistent performance. For example, HAR-RV model forecasts for CAC and DAX indices are improved only by overnight volatility, with some evidence also for SPX. For other indices, forecasts are improved by Parkinson and/or Garman-</w:t>
      </w:r>
      <w:proofErr w:type="spellStart"/>
      <w:r>
        <w:t>Klass</w:t>
      </w:r>
      <w:proofErr w:type="spellEnd"/>
      <w:r>
        <w:t xml:space="preserve"> volatility estimators. Of note, simpler range estimators outperform more complex range estimators. The findings could be important for investors in managing portfolio risk.  </w:t>
      </w:r>
    </w:p>
    <w:p w14:paraId="21A94BAA" w14:textId="77777777" w:rsidR="00311157" w:rsidRDefault="00311157" w:rsidP="00311157">
      <w:pPr>
        <w:jc w:val="both"/>
      </w:pPr>
    </w:p>
    <w:p w14:paraId="76C88435" w14:textId="77777777" w:rsidR="00311157" w:rsidRPr="00A87C8F" w:rsidRDefault="00311157" w:rsidP="00311157">
      <w:pPr>
        <w:jc w:val="both"/>
      </w:pPr>
      <w:r w:rsidRPr="009A624B">
        <w:rPr>
          <w:b/>
        </w:rPr>
        <w:t>Keywords:</w:t>
      </w:r>
      <w:r>
        <w:t xml:space="preserve"> Volatility forecasting, realized volatility, G7 stock markets, HAR-RV-X model, rolling methods, MCS.</w:t>
      </w:r>
    </w:p>
    <w:p w14:paraId="0584E217" w14:textId="77777777" w:rsidR="00311157" w:rsidRDefault="00311157" w:rsidP="00311157">
      <w:pPr>
        <w:rPr>
          <w:b/>
        </w:rPr>
      </w:pPr>
    </w:p>
    <w:p w14:paraId="55E23125" w14:textId="77777777" w:rsidR="00311157" w:rsidRDefault="00311157" w:rsidP="00311157">
      <w:r>
        <w:rPr>
          <w:b/>
        </w:rPr>
        <w:t xml:space="preserve">JEL classification: </w:t>
      </w:r>
      <w:r w:rsidRPr="003B492B">
        <w:t>C22, C53, G1</w:t>
      </w:r>
      <w:r>
        <w:t>5</w:t>
      </w:r>
      <w:r w:rsidRPr="003B492B">
        <w:t>.</w:t>
      </w:r>
    </w:p>
    <w:p w14:paraId="61843966" w14:textId="77777777" w:rsidR="00311157" w:rsidRDefault="00311157" w:rsidP="00311157"/>
    <w:p w14:paraId="289AD98B" w14:textId="77777777" w:rsidR="00311157" w:rsidRDefault="00311157" w:rsidP="00311157"/>
    <w:p w14:paraId="57987B04" w14:textId="77777777" w:rsidR="00311157" w:rsidRDefault="00311157" w:rsidP="00311157"/>
    <w:p w14:paraId="0FB43A46" w14:textId="77777777" w:rsidR="00311157" w:rsidRDefault="00311157" w:rsidP="00311157"/>
    <w:p w14:paraId="102C3F89" w14:textId="77777777" w:rsidR="00311157" w:rsidRPr="00BC06B0" w:rsidRDefault="00311157" w:rsidP="00311157">
      <w:pPr>
        <w:jc w:val="center"/>
        <w:rPr>
          <w:rFonts w:ascii="Times New Roman" w:hAnsi="Times New Roman" w:cs="Times New Roman"/>
          <w:sz w:val="20"/>
          <w:szCs w:val="20"/>
        </w:rPr>
      </w:pPr>
      <w:r w:rsidRPr="00BC06B0">
        <w:rPr>
          <w:rFonts w:ascii="Times New Roman" w:hAnsi="Times New Roman" w:cs="Times New Roman"/>
          <w:sz w:val="20"/>
          <w:szCs w:val="20"/>
        </w:rPr>
        <w:t>Address for Correspondence: Professor David McMillan,</w:t>
      </w:r>
    </w:p>
    <w:p w14:paraId="0C8E35C7" w14:textId="77777777" w:rsidR="00311157" w:rsidRPr="00BC06B0" w:rsidRDefault="00311157" w:rsidP="00311157">
      <w:pPr>
        <w:jc w:val="center"/>
        <w:rPr>
          <w:rFonts w:ascii="Times New Roman" w:hAnsi="Times New Roman" w:cs="Times New Roman"/>
          <w:sz w:val="20"/>
          <w:szCs w:val="20"/>
        </w:rPr>
      </w:pPr>
      <w:r w:rsidRPr="00BC06B0">
        <w:rPr>
          <w:rFonts w:ascii="Times New Roman" w:hAnsi="Times New Roman" w:cs="Times New Roman"/>
          <w:sz w:val="20"/>
          <w:szCs w:val="20"/>
        </w:rPr>
        <w:t>Accounting and Finance Division, University of Stirling, FK9 4LA</w:t>
      </w:r>
    </w:p>
    <w:p w14:paraId="46B1BFF3" w14:textId="77777777" w:rsidR="00311157" w:rsidRPr="00BC06B0" w:rsidRDefault="00311157" w:rsidP="00311157">
      <w:pPr>
        <w:jc w:val="center"/>
        <w:rPr>
          <w:rFonts w:ascii="Times New Roman" w:hAnsi="Times New Roman" w:cs="Times New Roman"/>
          <w:sz w:val="20"/>
          <w:szCs w:val="20"/>
        </w:rPr>
      </w:pPr>
      <w:r w:rsidRPr="00BC06B0">
        <w:rPr>
          <w:rFonts w:ascii="Times New Roman" w:hAnsi="Times New Roman" w:cs="Times New Roman"/>
          <w:sz w:val="20"/>
          <w:szCs w:val="20"/>
        </w:rPr>
        <w:t>Telephone: +44(0)1786-467309</w:t>
      </w:r>
    </w:p>
    <w:p w14:paraId="2C1DB102" w14:textId="77777777" w:rsidR="00311157" w:rsidRPr="00BC06B0" w:rsidRDefault="00311157" w:rsidP="00311157">
      <w:pPr>
        <w:jc w:val="center"/>
        <w:rPr>
          <w:rFonts w:ascii="Times New Roman" w:hAnsi="Times New Roman" w:cs="Times New Roman"/>
          <w:sz w:val="20"/>
          <w:szCs w:val="20"/>
        </w:rPr>
      </w:pPr>
      <w:r w:rsidRPr="00BC06B0">
        <w:rPr>
          <w:rFonts w:ascii="Times New Roman" w:hAnsi="Times New Roman" w:cs="Times New Roman"/>
          <w:sz w:val="20"/>
          <w:szCs w:val="20"/>
        </w:rPr>
        <w:t>Fax: +44(0)1786-467308</w:t>
      </w:r>
    </w:p>
    <w:p w14:paraId="0A1C6A81" w14:textId="77777777" w:rsidR="00311157" w:rsidRPr="00BC06B0" w:rsidRDefault="00311157" w:rsidP="00311157">
      <w:pPr>
        <w:jc w:val="center"/>
        <w:rPr>
          <w:rFonts w:ascii="Times New Roman" w:hAnsi="Times New Roman" w:cs="Times New Roman"/>
          <w:b/>
          <w:bCs/>
        </w:rPr>
      </w:pPr>
      <w:r w:rsidRPr="00BC06B0">
        <w:rPr>
          <w:rFonts w:ascii="Times New Roman" w:hAnsi="Times New Roman" w:cs="Times New Roman"/>
          <w:sz w:val="20"/>
          <w:szCs w:val="20"/>
        </w:rPr>
        <w:t>E-mail: david.mcmillan@stir.ac.uk</w:t>
      </w:r>
    </w:p>
    <w:p w14:paraId="5C68ADF9" w14:textId="77777777" w:rsidR="00D71253" w:rsidRDefault="00D71253" w:rsidP="00171137">
      <w:pPr>
        <w:rPr>
          <w:b/>
        </w:rPr>
      </w:pPr>
    </w:p>
    <w:p w14:paraId="36E711AF" w14:textId="77777777" w:rsidR="00D71253" w:rsidRDefault="00D71253" w:rsidP="00171137">
      <w:pPr>
        <w:rPr>
          <w:b/>
        </w:rPr>
      </w:pPr>
    </w:p>
    <w:p w14:paraId="319F859B" w14:textId="77777777" w:rsidR="00D71253" w:rsidRDefault="00D71253" w:rsidP="00171137">
      <w:pPr>
        <w:rPr>
          <w:b/>
        </w:rPr>
      </w:pPr>
    </w:p>
    <w:p w14:paraId="4FD5575C" w14:textId="77777777" w:rsidR="00D71253" w:rsidRDefault="00D71253" w:rsidP="00171137">
      <w:pPr>
        <w:rPr>
          <w:b/>
        </w:rPr>
      </w:pPr>
    </w:p>
    <w:p w14:paraId="46854C46" w14:textId="77777777" w:rsidR="00D71253" w:rsidRDefault="00D71253" w:rsidP="00171137">
      <w:pPr>
        <w:rPr>
          <w:b/>
        </w:rPr>
      </w:pPr>
    </w:p>
    <w:p w14:paraId="02CBE9D5" w14:textId="77777777" w:rsidR="00D71253" w:rsidRDefault="00D71253" w:rsidP="00171137">
      <w:pPr>
        <w:rPr>
          <w:b/>
        </w:rPr>
      </w:pPr>
    </w:p>
    <w:p w14:paraId="63D64008" w14:textId="382E789B" w:rsidR="00311157" w:rsidRDefault="00311157">
      <w:r>
        <w:br w:type="page"/>
      </w:r>
    </w:p>
    <w:p w14:paraId="422D5960" w14:textId="3601BF64" w:rsidR="00653A50" w:rsidRPr="002A4907" w:rsidRDefault="00BF4C2B" w:rsidP="0034066F">
      <w:pPr>
        <w:widowControl w:val="0"/>
        <w:spacing w:line="480" w:lineRule="auto"/>
        <w:rPr>
          <w:b/>
        </w:rPr>
      </w:pPr>
      <w:r>
        <w:rPr>
          <w:b/>
        </w:rPr>
        <w:lastRenderedPageBreak/>
        <w:t xml:space="preserve">1. </w:t>
      </w:r>
      <w:r w:rsidR="00171137" w:rsidRPr="00BF4C2B">
        <w:rPr>
          <w:b/>
        </w:rPr>
        <w:t>Introduction</w:t>
      </w:r>
      <w:r w:rsidRPr="00BF4C2B">
        <w:rPr>
          <w:b/>
        </w:rPr>
        <w:t>.</w:t>
      </w:r>
      <w:r w:rsidR="00AC2BE7">
        <w:t xml:space="preserve"> </w:t>
      </w:r>
    </w:p>
    <w:p w14:paraId="7122D947" w14:textId="05CB58FD" w:rsidR="00AC2BE7" w:rsidRDefault="00653A50" w:rsidP="0034066F">
      <w:pPr>
        <w:widowControl w:val="0"/>
        <w:spacing w:line="480" w:lineRule="auto"/>
        <w:jc w:val="both"/>
      </w:pPr>
      <w:r>
        <w:t xml:space="preserve">In modelling and forecasting stock market volatility, the dominant approach </w:t>
      </w:r>
      <w:r w:rsidR="00A87C8F">
        <w:t>use</w:t>
      </w:r>
      <w:r w:rsidR="007D1922">
        <w:t>s the r</w:t>
      </w:r>
      <w:r w:rsidR="003F5B52">
        <w:t>ealized</w:t>
      </w:r>
      <w:r w:rsidR="00AB113F">
        <w:t xml:space="preserve"> </w:t>
      </w:r>
      <w:r w:rsidR="007D1922">
        <w:t>v</w:t>
      </w:r>
      <w:r w:rsidR="003F5B52">
        <w:t>olatility</w:t>
      </w:r>
      <w:r w:rsidR="00F65C5F">
        <w:t xml:space="preserve"> (RV</w:t>
      </w:r>
      <w:r w:rsidR="00C878EE">
        <w:t xml:space="preserve">, Andersen and </w:t>
      </w:r>
      <w:proofErr w:type="spellStart"/>
      <w:r w:rsidR="00C878EE">
        <w:t>Bollerslev</w:t>
      </w:r>
      <w:proofErr w:type="spellEnd"/>
      <w:r w:rsidR="00C878EE">
        <w:t xml:space="preserve">, 1998) measure, modelled with the HAR-RV specification of </w:t>
      </w:r>
      <w:proofErr w:type="spellStart"/>
      <w:r w:rsidR="009C4225">
        <w:t>Corsi</w:t>
      </w:r>
      <w:proofErr w:type="spellEnd"/>
      <w:r w:rsidR="009C4225">
        <w:t xml:space="preserve"> (2009)</w:t>
      </w:r>
      <w:r w:rsidR="00AB113F">
        <w:t>.</w:t>
      </w:r>
      <w:r w:rsidR="009C4225">
        <w:rPr>
          <w:rStyle w:val="FootnoteReference"/>
        </w:rPr>
        <w:footnoteReference w:id="1"/>
      </w:r>
      <w:r w:rsidR="00A87C8F">
        <w:t xml:space="preserve"> </w:t>
      </w:r>
      <w:r w:rsidR="00C878EE">
        <w:t xml:space="preserve">The subsequent </w:t>
      </w:r>
      <w:r w:rsidR="00AB113F">
        <w:t>literature</w:t>
      </w:r>
      <w:r w:rsidR="00A87C8F">
        <w:t xml:space="preserve"> (</w:t>
      </w:r>
      <w:r w:rsidR="00C878EE">
        <w:t xml:space="preserve">e.g., </w:t>
      </w:r>
      <w:proofErr w:type="spellStart"/>
      <w:r w:rsidR="00F65C5F" w:rsidRPr="0072212F">
        <w:rPr>
          <w:rFonts w:cstheme="minorHAnsi"/>
          <w:color w:val="000000" w:themeColor="text1"/>
        </w:rPr>
        <w:t>Degiannakis</w:t>
      </w:r>
      <w:proofErr w:type="spellEnd"/>
      <w:r w:rsidR="00F65C5F" w:rsidRPr="0072212F">
        <w:rPr>
          <w:rFonts w:cstheme="minorHAnsi"/>
          <w:color w:val="000000" w:themeColor="text1"/>
        </w:rPr>
        <w:t xml:space="preserve"> and Filis</w:t>
      </w:r>
      <w:r w:rsidR="00F65C5F">
        <w:rPr>
          <w:rFonts w:cstheme="minorHAnsi"/>
          <w:color w:val="000000" w:themeColor="text1"/>
        </w:rPr>
        <w:t>,</w:t>
      </w:r>
      <w:r w:rsidR="00F65C5F" w:rsidRPr="0072212F">
        <w:rPr>
          <w:rFonts w:cstheme="minorHAnsi"/>
          <w:color w:val="000000" w:themeColor="text1"/>
        </w:rPr>
        <w:t xml:space="preserve"> 2017</w:t>
      </w:r>
      <w:r w:rsidR="00F65C5F">
        <w:rPr>
          <w:rFonts w:cstheme="minorHAnsi"/>
          <w:color w:val="000000" w:themeColor="text1"/>
        </w:rPr>
        <w:t xml:space="preserve">; </w:t>
      </w:r>
      <w:proofErr w:type="spellStart"/>
      <w:r w:rsidR="00F65C5F">
        <w:t>Kambouroudis</w:t>
      </w:r>
      <w:proofErr w:type="spellEnd"/>
      <w:r w:rsidR="007D1922">
        <w:t xml:space="preserve"> et al.</w:t>
      </w:r>
      <w:r w:rsidR="003728D2">
        <w:t>,</w:t>
      </w:r>
      <w:r w:rsidR="00F65C5F">
        <w:t xml:space="preserve"> </w:t>
      </w:r>
      <w:r w:rsidR="003728D2">
        <w:t>2021</w:t>
      </w:r>
      <w:r w:rsidR="00F65C5F">
        <w:t xml:space="preserve">; </w:t>
      </w:r>
      <w:r w:rsidR="00F65C5F" w:rsidRPr="0072212F">
        <w:t>Peng</w:t>
      </w:r>
      <w:r w:rsidR="00F65C5F">
        <w:t xml:space="preserve"> et al., </w:t>
      </w:r>
      <w:r w:rsidR="00F65C5F" w:rsidRPr="0072212F">
        <w:t>2018</w:t>
      </w:r>
      <w:r w:rsidR="00F65C5F">
        <w:t>; Liu et al., 2019; Wang, 2019; Yang and Liu, 2012</w:t>
      </w:r>
      <w:r w:rsidR="00DD5C16">
        <w:t>; Zhang et al., 2020</w:t>
      </w:r>
      <w:r w:rsidR="00A87C8F">
        <w:t xml:space="preserve">) </w:t>
      </w:r>
      <w:r w:rsidR="00C878EE">
        <w:t>seek</w:t>
      </w:r>
      <w:r w:rsidR="002A4907">
        <w:t>s</w:t>
      </w:r>
      <w:r w:rsidR="00C878EE">
        <w:t xml:space="preserve"> </w:t>
      </w:r>
      <w:r w:rsidR="00A87C8F">
        <w:t xml:space="preserve">to improve </w:t>
      </w:r>
      <w:r w:rsidR="007D1922">
        <w:t xml:space="preserve">forecast </w:t>
      </w:r>
      <w:r w:rsidR="002A4907">
        <w:t xml:space="preserve">accuracy by adding </w:t>
      </w:r>
      <w:r w:rsidR="007F5E2D">
        <w:t xml:space="preserve">exogenous variables </w:t>
      </w:r>
      <w:r w:rsidR="007D1922">
        <w:t xml:space="preserve">in a </w:t>
      </w:r>
      <w:r w:rsidR="007F5E2D">
        <w:t>HAR-RV-X model. Th</w:t>
      </w:r>
      <w:r w:rsidR="002A4907">
        <w:t>e</w:t>
      </w:r>
      <w:r w:rsidR="007F5E2D">
        <w:t xml:space="preserve">se exogenous variables </w:t>
      </w:r>
      <w:r w:rsidR="002A4907">
        <w:t>include</w:t>
      </w:r>
      <w:r w:rsidR="00910086">
        <w:t>, for example,</w:t>
      </w:r>
      <w:r w:rsidR="007F5E2D">
        <w:t xml:space="preserve"> cross-market information, </w:t>
      </w:r>
      <w:r w:rsidR="002A4907">
        <w:t>i</w:t>
      </w:r>
      <w:r w:rsidR="007F5E2D">
        <w:t xml:space="preserve">mplied </w:t>
      </w:r>
      <w:r w:rsidR="002A4907">
        <w:t>v</w:t>
      </w:r>
      <w:r w:rsidR="007F5E2D">
        <w:t>olatility</w:t>
      </w:r>
      <w:r w:rsidR="00A87C8F">
        <w:t xml:space="preserve"> and EPU</w:t>
      </w:r>
      <w:r w:rsidR="002A4907">
        <w:t xml:space="preserve"> (economic policy uncertainty)</w:t>
      </w:r>
      <w:r w:rsidR="00A87C8F">
        <w:t xml:space="preserve">. </w:t>
      </w:r>
      <w:r w:rsidR="002A4907">
        <w:t xml:space="preserve">Further </w:t>
      </w:r>
      <w:r w:rsidR="007F5E2D">
        <w:t xml:space="preserve">explanatory variables such as </w:t>
      </w:r>
      <w:r w:rsidR="007D1922">
        <w:t xml:space="preserve">the </w:t>
      </w:r>
      <w:r w:rsidR="007F5E2D">
        <w:t>leverage effect,</w:t>
      </w:r>
      <w:r w:rsidR="00910086">
        <w:t xml:space="preserve"> realized semi-variance,</w:t>
      </w:r>
      <w:r w:rsidR="007F5E2D">
        <w:t xml:space="preserve"> jump,</w:t>
      </w:r>
      <w:r w:rsidR="00F65C5F">
        <w:t xml:space="preserve"> and</w:t>
      </w:r>
      <w:r w:rsidR="007F5E2D">
        <w:t xml:space="preserve"> overnight volatility </w:t>
      </w:r>
      <w:r w:rsidR="002A4907">
        <w:t>are considered a</w:t>
      </w:r>
      <w:r w:rsidR="007D1922">
        <w:t xml:space="preserve">s </w:t>
      </w:r>
      <w:r w:rsidR="00F65C5F">
        <w:t>more directly related to</w:t>
      </w:r>
      <w:r w:rsidR="00D20C6A">
        <w:t xml:space="preserve"> the</w:t>
      </w:r>
      <w:r w:rsidR="00F65C5F">
        <w:t xml:space="preserve"> dependent variable</w:t>
      </w:r>
      <w:r w:rsidR="002A4907">
        <w:t xml:space="preserve"> as they </w:t>
      </w:r>
      <w:r w:rsidR="00A87C8F">
        <w:t xml:space="preserve">capture </w:t>
      </w:r>
      <w:r w:rsidR="002A4907">
        <w:t xml:space="preserve">the </w:t>
      </w:r>
      <w:r w:rsidR="00A87C8F">
        <w:t xml:space="preserve">stylised facts of volatility. </w:t>
      </w:r>
      <w:r w:rsidR="002A4907">
        <w:t xml:space="preserve">For example, </w:t>
      </w:r>
      <w:proofErr w:type="spellStart"/>
      <w:r w:rsidR="00AC2BE7">
        <w:t>Barndorff</w:t>
      </w:r>
      <w:proofErr w:type="spellEnd"/>
      <w:r w:rsidR="00AC2BE7">
        <w:t>-Nielsen</w:t>
      </w:r>
      <w:r w:rsidR="007D1922">
        <w:t xml:space="preserve"> et al.</w:t>
      </w:r>
      <w:r w:rsidR="00AC2BE7">
        <w:t>, (2010) introduce positive and negative reali</w:t>
      </w:r>
      <w:r w:rsidR="005743BF">
        <w:t>z</w:t>
      </w:r>
      <w:r w:rsidR="00AC2BE7">
        <w:t>ed semi</w:t>
      </w:r>
      <w:r w:rsidR="007D1922">
        <w:t>-</w:t>
      </w:r>
      <w:r w:rsidR="00AC2BE7">
        <w:t>variance</w:t>
      </w:r>
      <w:r w:rsidR="00736953">
        <w:t xml:space="preserve">, </w:t>
      </w:r>
      <w:proofErr w:type="spellStart"/>
      <w:r w:rsidR="00AB113F">
        <w:t>Corsi</w:t>
      </w:r>
      <w:proofErr w:type="spellEnd"/>
      <w:r w:rsidR="00AB113F">
        <w:t xml:space="preserve"> and Reno (2012)</w:t>
      </w:r>
      <w:r w:rsidR="00736953">
        <w:t xml:space="preserve"> consider leverage</w:t>
      </w:r>
      <w:r w:rsidR="00AC2BE7">
        <w:t>, wh</w:t>
      </w:r>
      <w:r w:rsidR="002A4907">
        <w:t>ile</w:t>
      </w:r>
      <w:r w:rsidR="00AC2BE7">
        <w:t xml:space="preserve"> Wang et al. (2015) </w:t>
      </w:r>
      <w:r w:rsidR="00736953">
        <w:t xml:space="preserve">also </w:t>
      </w:r>
      <w:r w:rsidR="00AC2BE7">
        <w:t xml:space="preserve">examine the role of overnight volatility. </w:t>
      </w:r>
    </w:p>
    <w:p w14:paraId="23D1C0BE" w14:textId="10CD4235" w:rsidR="0081785E" w:rsidRDefault="0083161E" w:rsidP="0034066F">
      <w:pPr>
        <w:widowControl w:val="0"/>
        <w:spacing w:line="480" w:lineRule="auto"/>
        <w:ind w:firstLine="720"/>
        <w:jc w:val="both"/>
      </w:pPr>
      <w:r>
        <w:t>An alternative source of information that can improve forecasts is given by</w:t>
      </w:r>
      <w:r w:rsidR="00910086">
        <w:t xml:space="preserve"> </w:t>
      </w:r>
      <w:r w:rsidR="003F5B52">
        <w:t>OHLC</w:t>
      </w:r>
      <w:r w:rsidR="00910086">
        <w:t xml:space="preserve"> (Open, High, Low, Close)</w:t>
      </w:r>
      <w:r w:rsidR="003F5B52">
        <w:t xml:space="preserve"> </w:t>
      </w:r>
      <w:r w:rsidR="00910086">
        <w:t>prices</w:t>
      </w:r>
      <w:r w:rsidR="00AC2BE7">
        <w:t xml:space="preserve">. </w:t>
      </w:r>
      <w:r w:rsidR="001F161D">
        <w:t xml:space="preserve">Although RV </w:t>
      </w:r>
      <w:r w:rsidR="00AC2BE7">
        <w:t>is the sum of squared intraday returns</w:t>
      </w:r>
      <w:r w:rsidR="001F161D">
        <w:t>, it does not necessarily capture high-low range information</w:t>
      </w:r>
      <w:r w:rsidR="00AC2BE7">
        <w:t>. Th</w:t>
      </w:r>
      <w:r w:rsidR="001F161D">
        <w:t>u</w:t>
      </w:r>
      <w:r w:rsidR="00AC2BE7">
        <w:t>s</w:t>
      </w:r>
      <w:r w:rsidR="001F161D">
        <w:t>,</w:t>
      </w:r>
      <w:r w:rsidR="00AC2BE7">
        <w:t xml:space="preserve"> </w:t>
      </w:r>
      <w:r w:rsidR="00F65C5F">
        <w:t>range estimators (e.g.</w:t>
      </w:r>
      <w:r w:rsidR="001F161D">
        <w:t>,</w:t>
      </w:r>
      <w:r w:rsidR="00F65C5F">
        <w:t xml:space="preserve"> Parkinson, Garman-</w:t>
      </w:r>
      <w:proofErr w:type="spellStart"/>
      <w:r w:rsidR="00F65C5F">
        <w:t>Klass</w:t>
      </w:r>
      <w:proofErr w:type="spellEnd"/>
      <w:r w:rsidR="00F65C5F">
        <w:t>, Roger-Satchell, and Yang-Zhang) c</w:t>
      </w:r>
      <w:r w:rsidR="00736953">
        <w:t xml:space="preserve">an </w:t>
      </w:r>
      <w:r w:rsidR="00AC2BE7">
        <w:t>be</w:t>
      </w:r>
      <w:r w:rsidR="00F65C5F">
        <w:t xml:space="preserve"> </w:t>
      </w:r>
      <w:r w:rsidR="001F161D">
        <w:t xml:space="preserve">introduced to the HAR-RV-X framework. </w:t>
      </w:r>
      <w:r w:rsidR="00736953">
        <w:t>R</w:t>
      </w:r>
      <w:r w:rsidR="00F65C5F">
        <w:t>ange estimators (or</w:t>
      </w:r>
      <w:r w:rsidR="0081785E">
        <w:t xml:space="preserve"> </w:t>
      </w:r>
      <w:r w:rsidR="00F65C5F">
        <w:t xml:space="preserve">OHLC estimators) are </w:t>
      </w:r>
      <w:r w:rsidR="0081785E">
        <w:t xml:space="preserve">straightforward </w:t>
      </w:r>
      <w:r w:rsidR="00F65C5F">
        <w:t xml:space="preserve">to calculate </w:t>
      </w:r>
      <w:r w:rsidR="0081785E">
        <w:t xml:space="preserve">given </w:t>
      </w:r>
      <w:r w:rsidR="00F65C5F">
        <w:t xml:space="preserve">the availability of open, high, </w:t>
      </w:r>
      <w:proofErr w:type="gramStart"/>
      <w:r w:rsidR="00F65C5F">
        <w:t>low</w:t>
      </w:r>
      <w:proofErr w:type="gramEnd"/>
      <w:r w:rsidR="00F65C5F">
        <w:t xml:space="preserve"> and close price</w:t>
      </w:r>
      <w:r w:rsidR="0081785E">
        <w:t xml:space="preserve"> data</w:t>
      </w:r>
      <w:r w:rsidR="00F65C5F">
        <w:t xml:space="preserve">. </w:t>
      </w:r>
      <w:r w:rsidR="007F5E2D">
        <w:t xml:space="preserve">Despite both RV and OHLC </w:t>
      </w:r>
      <w:r w:rsidR="0081785E">
        <w:t xml:space="preserve">being </w:t>
      </w:r>
      <w:r w:rsidR="007F5E2D">
        <w:t>volatility estimators</w:t>
      </w:r>
      <w:r w:rsidR="0081785E">
        <w:t xml:space="preserve">, they capture </w:t>
      </w:r>
      <w:r w:rsidR="007F5E2D">
        <w:t>different frequencies</w:t>
      </w:r>
      <w:r w:rsidR="0081785E">
        <w:t xml:space="preserve"> in the data and </w:t>
      </w:r>
      <w:r w:rsidR="00A87C8F">
        <w:t>the information value of OHLC estimators for RV</w:t>
      </w:r>
      <w:r w:rsidR="0081785E">
        <w:t xml:space="preserve">-based forecasts </w:t>
      </w:r>
      <w:r w:rsidR="00A87C8F">
        <w:t>ha</w:t>
      </w:r>
      <w:r w:rsidR="0081785E">
        <w:t xml:space="preserve">s </w:t>
      </w:r>
      <w:r w:rsidR="00A87C8F">
        <w:t>not been examined.</w:t>
      </w:r>
      <w:r w:rsidR="007F5E2D">
        <w:t xml:space="preserve"> </w:t>
      </w:r>
      <w:r w:rsidR="00F65C5F">
        <w:t xml:space="preserve">Therefore, this study fills the gap in this literature by investigating </w:t>
      </w:r>
      <w:r w:rsidR="0081785E">
        <w:t xml:space="preserve">whether </w:t>
      </w:r>
      <w:r w:rsidR="00A87C8F">
        <w:t xml:space="preserve">OHLC estimators </w:t>
      </w:r>
      <w:r w:rsidR="0081785E">
        <w:t xml:space="preserve">that </w:t>
      </w:r>
      <w:r w:rsidR="007F5E2D">
        <w:t>embed</w:t>
      </w:r>
      <w:r w:rsidR="00A87C8F">
        <w:t xml:space="preserve"> </w:t>
      </w:r>
      <w:r w:rsidR="00F65C5F">
        <w:t>range</w:t>
      </w:r>
      <w:r w:rsidR="00A87C8F">
        <w:t xml:space="preserve"> information </w:t>
      </w:r>
      <w:r w:rsidR="0081785E">
        <w:lastRenderedPageBreak/>
        <w:t xml:space="preserve">improve </w:t>
      </w:r>
      <w:r w:rsidR="00F65C5F">
        <w:t>future</w:t>
      </w:r>
      <w:r w:rsidR="00A87C8F">
        <w:t xml:space="preserve"> RV</w:t>
      </w:r>
      <w:r w:rsidR="007F5E2D">
        <w:t xml:space="preserve"> </w:t>
      </w:r>
      <w:r w:rsidR="00F65C5F">
        <w:t>forecasts.</w:t>
      </w:r>
      <w:r w:rsidR="00A87C8F">
        <w:t xml:space="preserve"> </w:t>
      </w:r>
    </w:p>
    <w:p w14:paraId="764C7A5D" w14:textId="63F01084" w:rsidR="00C20233" w:rsidRDefault="00C20233" w:rsidP="0034066F">
      <w:pPr>
        <w:widowControl w:val="0"/>
        <w:spacing w:line="480" w:lineRule="auto"/>
        <w:ind w:firstLine="720"/>
        <w:jc w:val="both"/>
      </w:pPr>
      <w:r w:rsidRPr="00311157">
        <w:t xml:space="preserve">Identifying our work from the exiting literature, </w:t>
      </w:r>
      <w:r w:rsidR="00053DC1" w:rsidRPr="00311157">
        <w:t xml:space="preserve">we can consider, for example, </w:t>
      </w:r>
      <w:r w:rsidRPr="00311157">
        <w:t xml:space="preserve">Peng et al. (2018) and Todorova and </w:t>
      </w:r>
      <w:proofErr w:type="spellStart"/>
      <w:r w:rsidRPr="00311157">
        <w:t>Husmann</w:t>
      </w:r>
      <w:proofErr w:type="spellEnd"/>
      <w:r w:rsidRPr="00311157">
        <w:t xml:space="preserve"> (2012)</w:t>
      </w:r>
      <w:r w:rsidR="00053DC1" w:rsidRPr="00311157">
        <w:t>. While</w:t>
      </w:r>
      <w:r w:rsidRPr="00311157">
        <w:t xml:space="preserve"> both focus on the forecast</w:t>
      </w:r>
      <w:r w:rsidR="00053DC1" w:rsidRPr="00311157">
        <w:t>s</w:t>
      </w:r>
      <w:r w:rsidRPr="00311157">
        <w:t xml:space="preserve"> for a single market</w:t>
      </w:r>
      <w:r w:rsidR="00053DC1" w:rsidRPr="00311157">
        <w:t xml:space="preserve">, the former </w:t>
      </w:r>
      <w:r w:rsidRPr="00311157">
        <w:t>incorporat</w:t>
      </w:r>
      <w:r w:rsidR="00053DC1" w:rsidRPr="00311157">
        <w:t xml:space="preserve">es </w:t>
      </w:r>
      <w:r w:rsidRPr="00311157">
        <w:t>‘X’ variables</w:t>
      </w:r>
      <w:r w:rsidR="00053DC1" w:rsidRPr="00311157">
        <w:t xml:space="preserve"> into the RV equation and the latter uses the range-based measures as the series to be forecast (i.e., the proxy for volatility)</w:t>
      </w:r>
      <w:r w:rsidRPr="00311157">
        <w:t>.</w:t>
      </w:r>
      <w:r w:rsidR="00053DC1" w:rsidRPr="00311157">
        <w:t xml:space="preserve"> </w:t>
      </w:r>
      <w:r w:rsidR="00BF39B7" w:rsidRPr="00311157">
        <w:t xml:space="preserve">A further paper, </w:t>
      </w:r>
      <w:proofErr w:type="spellStart"/>
      <w:r w:rsidR="00BF39B7" w:rsidRPr="00311157">
        <w:t>Kambouroudis</w:t>
      </w:r>
      <w:proofErr w:type="spellEnd"/>
      <w:r w:rsidR="00BF39B7" w:rsidRPr="00311157">
        <w:t xml:space="preserve"> et al. (2021) does include a number of markets in their forecast </w:t>
      </w:r>
      <w:proofErr w:type="gramStart"/>
      <w:r w:rsidR="00BF39B7" w:rsidRPr="00311157">
        <w:t>exercise, but</w:t>
      </w:r>
      <w:proofErr w:type="gramEnd"/>
      <w:r w:rsidR="00BF39B7" w:rsidRPr="00311157">
        <w:t xml:space="preserve"> does not include range-based ‘X’ variables.</w:t>
      </w:r>
      <w:r w:rsidR="00BF39B7" w:rsidRPr="00311157">
        <w:rPr>
          <w:rStyle w:val="FootnoteReference"/>
        </w:rPr>
        <w:footnoteReference w:id="2"/>
      </w:r>
      <w:r w:rsidR="00BF39B7" w:rsidRPr="00311157">
        <w:t xml:space="preserve"> </w:t>
      </w:r>
      <w:r w:rsidR="00D415F7" w:rsidRPr="00311157">
        <w:t xml:space="preserve">In recent work that considers range-based forecasts, </w:t>
      </w:r>
      <w:proofErr w:type="spellStart"/>
      <w:r w:rsidR="00D415F7" w:rsidRPr="00311157">
        <w:rPr>
          <w:rStyle w:val="author"/>
        </w:rPr>
        <w:t>Petneházi</w:t>
      </w:r>
      <w:proofErr w:type="spellEnd"/>
      <w:r w:rsidR="00D415F7" w:rsidRPr="00311157">
        <w:rPr>
          <w:rStyle w:val="author"/>
        </w:rPr>
        <w:t xml:space="preserve"> and </w:t>
      </w:r>
      <w:proofErr w:type="spellStart"/>
      <w:r w:rsidR="00D415F7" w:rsidRPr="00311157">
        <w:rPr>
          <w:rStyle w:val="author"/>
        </w:rPr>
        <w:t>Gáll</w:t>
      </w:r>
      <w:proofErr w:type="spellEnd"/>
      <w:r w:rsidR="00D415F7" w:rsidRPr="00311157">
        <w:rPr>
          <w:rStyle w:val="author"/>
        </w:rPr>
        <w:t xml:space="preserve"> (2019) combine with a neural network approach for the Dow Jones Industrial Average, while Wu and Xu (2022) apply the CARR approach to Chinese stock markets.</w:t>
      </w:r>
      <w:r w:rsidR="00D415F7" w:rsidRPr="00311157">
        <w:t xml:space="preserve"> </w:t>
      </w:r>
      <w:r w:rsidR="00BF39B7" w:rsidRPr="00311157">
        <w:t>Our paper, in essence, combines these approaches by allowing the range-based measures to be the ‘X’ variables across a selection of markets.</w:t>
      </w:r>
      <w:r w:rsidR="00BF39B7" w:rsidRPr="00311157">
        <w:rPr>
          <w:rStyle w:val="FootnoteReference"/>
        </w:rPr>
        <w:footnoteReference w:id="3"/>
      </w:r>
      <w:r w:rsidR="00BF39B7" w:rsidRPr="00311157">
        <w:t xml:space="preserve"> In doing so, we believe this paper</w:t>
      </w:r>
      <w:r w:rsidR="00CD3678" w:rsidRPr="00311157">
        <w:t xml:space="preserve"> address</w:t>
      </w:r>
      <w:r w:rsidR="00BF39B7" w:rsidRPr="00311157">
        <w:t xml:space="preserve">es a clear </w:t>
      </w:r>
      <w:r w:rsidR="00CD3678" w:rsidRPr="00311157">
        <w:t>gap</w:t>
      </w:r>
      <w:r w:rsidR="00BF39B7" w:rsidRPr="00311157">
        <w:t xml:space="preserve"> in the literature</w:t>
      </w:r>
      <w:r w:rsidR="00CD3678" w:rsidRPr="00311157">
        <w:t>.</w:t>
      </w:r>
      <w:r w:rsidR="00CD3678">
        <w:t xml:space="preserve">  </w:t>
      </w:r>
    </w:p>
    <w:p w14:paraId="7AC7BDC2" w14:textId="77777777" w:rsidR="0081785E" w:rsidRDefault="0081785E" w:rsidP="0034066F">
      <w:pPr>
        <w:widowControl w:val="0"/>
        <w:spacing w:line="480" w:lineRule="auto"/>
        <w:jc w:val="both"/>
      </w:pPr>
    </w:p>
    <w:p w14:paraId="2A1B06CB" w14:textId="4B9C9BCB" w:rsidR="00171137" w:rsidRPr="0026344B" w:rsidRDefault="00ED0951" w:rsidP="0034066F">
      <w:pPr>
        <w:widowControl w:val="0"/>
        <w:spacing w:line="480" w:lineRule="auto"/>
        <w:rPr>
          <w:b/>
        </w:rPr>
      </w:pPr>
      <w:r w:rsidRPr="0026344B">
        <w:rPr>
          <w:b/>
        </w:rPr>
        <w:t xml:space="preserve">2. Empirical </w:t>
      </w:r>
      <w:r w:rsidR="00171137" w:rsidRPr="0026344B">
        <w:rPr>
          <w:b/>
        </w:rPr>
        <w:t>Methodology</w:t>
      </w:r>
      <w:r w:rsidRPr="0026344B">
        <w:rPr>
          <w:b/>
        </w:rPr>
        <w:t>.</w:t>
      </w:r>
    </w:p>
    <w:p w14:paraId="5E978303" w14:textId="1374D75D" w:rsidR="005D403A" w:rsidRPr="0026344B" w:rsidRDefault="0026344B" w:rsidP="0034066F">
      <w:pPr>
        <w:widowControl w:val="0"/>
        <w:spacing w:line="480" w:lineRule="auto"/>
        <w:rPr>
          <w:bCs/>
          <w:i/>
          <w:iCs/>
        </w:rPr>
      </w:pPr>
      <w:r w:rsidRPr="0026344B">
        <w:rPr>
          <w:bCs/>
          <w:i/>
          <w:iCs/>
        </w:rPr>
        <w:t xml:space="preserve">2.1. </w:t>
      </w:r>
      <w:r w:rsidR="001B3B2E" w:rsidRPr="0026344B">
        <w:rPr>
          <w:bCs/>
          <w:i/>
          <w:iCs/>
        </w:rPr>
        <w:t>Realized Variance</w:t>
      </w:r>
    </w:p>
    <w:p w14:paraId="758A0019" w14:textId="1A3F559C" w:rsidR="00751A99" w:rsidRDefault="00751A99" w:rsidP="0034066F">
      <w:pPr>
        <w:widowControl w:val="0"/>
        <w:spacing w:line="480" w:lineRule="auto"/>
        <w:jc w:val="both"/>
      </w:pPr>
      <w:r>
        <w:t>V</w:t>
      </w:r>
      <w:r w:rsidRPr="004C1507">
        <w:t>olatility is latent</w:t>
      </w:r>
      <w:r>
        <w:t xml:space="preserve"> and therefore requires </w:t>
      </w:r>
      <w:r w:rsidR="0026344B">
        <w:t>a proxy measure.</w:t>
      </w:r>
      <w:r>
        <w:t xml:space="preserve"> </w:t>
      </w:r>
      <w:r w:rsidR="002E5636">
        <w:t>The use of s</w:t>
      </w:r>
      <w:r>
        <w:t xml:space="preserve">quared </w:t>
      </w:r>
      <w:r w:rsidR="00736953">
        <w:t>(</w:t>
      </w:r>
      <w:r>
        <w:t>or absolute</w:t>
      </w:r>
      <w:r w:rsidR="00736953">
        <w:t>)</w:t>
      </w:r>
      <w:r>
        <w:t xml:space="preserve"> returns </w:t>
      </w:r>
      <w:r w:rsidR="0026344B">
        <w:t>form</w:t>
      </w:r>
      <w:r w:rsidR="00736953">
        <w:t xml:space="preserve"> </w:t>
      </w:r>
      <w:r>
        <w:t>a</w:t>
      </w:r>
      <w:r w:rsidR="0026344B">
        <w:t xml:space="preserve"> </w:t>
      </w:r>
      <w:r>
        <w:t>traditional</w:t>
      </w:r>
      <w:r w:rsidR="0026344B">
        <w:t>, but noisy,</w:t>
      </w:r>
      <w:r>
        <w:t xml:space="preserve"> approach</w:t>
      </w:r>
      <w:r w:rsidR="0026344B">
        <w:t xml:space="preserve"> that </w:t>
      </w:r>
      <w:r w:rsidR="00736953">
        <w:t xml:space="preserve">are </w:t>
      </w:r>
      <w:r w:rsidR="0026344B">
        <w:t xml:space="preserve">largely superseded by </w:t>
      </w:r>
      <w:r>
        <w:t>realized v</w:t>
      </w:r>
      <w:r w:rsidR="0026344B">
        <w:t xml:space="preserve">ariance. This latter measure is </w:t>
      </w:r>
      <w:r>
        <w:t xml:space="preserve">based on high frequency </w:t>
      </w:r>
      <w:r w:rsidR="0026344B">
        <w:t xml:space="preserve">data, thus containing </w:t>
      </w:r>
      <w:r>
        <w:t>more information</w:t>
      </w:r>
      <w:r w:rsidR="00D20C6A">
        <w:t>,</w:t>
      </w:r>
      <w:r>
        <w:t xml:space="preserve"> and considered to be a better representati</w:t>
      </w:r>
      <w:r w:rsidR="00D20C6A">
        <w:t>on</w:t>
      </w:r>
      <w:r>
        <w:t xml:space="preserve"> of true volatility (Andersen and </w:t>
      </w:r>
      <w:proofErr w:type="spellStart"/>
      <w:r>
        <w:t>Bollerslev</w:t>
      </w:r>
      <w:proofErr w:type="spellEnd"/>
      <w:r>
        <w:t>, 1998; Andersen et al., 1999)</w:t>
      </w:r>
      <w:r w:rsidR="0026344B">
        <w:t xml:space="preserve"> and is given by:</w:t>
      </w:r>
      <w:r>
        <w:t xml:space="preserve"> </w:t>
      </w:r>
    </w:p>
    <w:p w14:paraId="185CBFC8" w14:textId="77777777" w:rsidR="00751A99" w:rsidRPr="00751A99" w:rsidRDefault="008C2A9A" w:rsidP="0034066F">
      <w:pPr>
        <w:widowControl w:val="0"/>
        <w:spacing w:line="480" w:lineRule="auto"/>
      </w:pPr>
      <w:r>
        <w:rPr>
          <w:rFonts w:eastAsiaTheme="minorEastAsia"/>
        </w:rPr>
        <w:lastRenderedPageBreak/>
        <w:t xml:space="preserve">      </w:t>
      </w:r>
      <w:r w:rsidR="00746696">
        <w:rPr>
          <w:rFonts w:eastAsiaTheme="minorEastAsia"/>
        </w:rPr>
        <w:t xml:space="preserve">    </w:t>
      </w:r>
      <w:r>
        <w:rPr>
          <w:rFonts w:eastAsiaTheme="minorEastAsia"/>
        </w:rPr>
        <w:t xml:space="preserve">  </w:t>
      </w:r>
      <m:oMath>
        <m:sSub>
          <m:sSubPr>
            <m:ctrlPr>
              <w:rPr>
                <w:rFonts w:ascii="Cambria Math" w:hAnsi="Cambria Math"/>
                <w:i/>
              </w:rPr>
            </m:ctrlPr>
          </m:sSubPr>
          <m:e>
            <m:r>
              <w:rPr>
                <w:rFonts w:ascii="Cambria Math" w:hAnsi="Cambria Math"/>
              </w:rPr>
              <m:t>RV</m:t>
            </m:r>
          </m:e>
          <m:sub>
            <m:r>
              <w:rPr>
                <w:rFonts w:ascii="Cambria Math" w:hAnsi="Cambria Math"/>
              </w:rPr>
              <m:t>t</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sSubSup>
              <m:sSubSupPr>
                <m:ctrlPr>
                  <w:rPr>
                    <w:rFonts w:ascii="Cambria Math" w:hAnsi="Cambria Math"/>
                    <w:i/>
                  </w:rPr>
                </m:ctrlPr>
              </m:sSubSupPr>
              <m:e>
                <m:r>
                  <w:rPr>
                    <w:rFonts w:ascii="Cambria Math" w:hAnsi="Cambria Math"/>
                  </w:rPr>
                  <m:t>r</m:t>
                </m:r>
              </m:e>
              <m:sub>
                <m:r>
                  <w:rPr>
                    <w:rFonts w:ascii="Cambria Math" w:hAnsi="Cambria Math"/>
                  </w:rPr>
                  <m:t>t,i</m:t>
                </m:r>
              </m:sub>
              <m:sup>
                <m:r>
                  <w:rPr>
                    <w:rFonts w:ascii="Cambria Math" w:hAnsi="Cambria Math"/>
                  </w:rPr>
                  <m:t>2</m:t>
                </m:r>
              </m:sup>
            </m:sSubSup>
          </m:e>
        </m:nary>
      </m:oMath>
      <w:r w:rsidR="00751A99">
        <w:rPr>
          <w:rFonts w:eastAsiaTheme="minorEastAsia"/>
        </w:rPr>
        <w:t xml:space="preserve">                              </w:t>
      </w:r>
      <w:r w:rsidR="00746696">
        <w:rPr>
          <w:rFonts w:eastAsiaTheme="minorEastAsia"/>
        </w:rPr>
        <w:t xml:space="preserve"> </w:t>
      </w:r>
      <w:r w:rsidR="00751A99">
        <w:rPr>
          <w:rFonts w:eastAsiaTheme="minorEastAsia"/>
        </w:rPr>
        <w:t xml:space="preserve">                                                                                          (1)</w:t>
      </w:r>
    </w:p>
    <w:p w14:paraId="6E254C86" w14:textId="12FBB6CA" w:rsidR="00751A99" w:rsidRDefault="006C4CE4" w:rsidP="0034066F">
      <w:pPr>
        <w:widowControl w:val="0"/>
        <w:spacing w:line="480" w:lineRule="auto"/>
        <w:jc w:val="both"/>
      </w:pPr>
      <w:r>
        <w:t>w</w:t>
      </w:r>
      <w:r w:rsidR="0026344B">
        <w:t>here reali</w:t>
      </w:r>
      <w:r w:rsidR="005743BF">
        <w:t>z</w:t>
      </w:r>
      <w:r w:rsidR="0026344B">
        <w:t>ed variance (</w:t>
      </w:r>
      <w:r w:rsidR="00751A99">
        <w:t>RV</w:t>
      </w:r>
      <w:r w:rsidR="0026344B">
        <w:t xml:space="preserve">) </w:t>
      </w:r>
      <w:r w:rsidR="00751A99" w:rsidRPr="00751A99">
        <w:t>is calculated as the sum of squared intraday returns</w:t>
      </w:r>
      <w:r w:rsidR="0026344B">
        <w:t xml:space="preserve"> (r)</w:t>
      </w:r>
      <w:r w:rsidR="00BC3590">
        <w:t>,</w:t>
      </w:r>
      <w:r w:rsidR="0026344B">
        <w:t xml:space="preserve"> with </w:t>
      </w:r>
      <w:r w:rsidR="00751A99" w:rsidRPr="00751A99">
        <w:rPr>
          <w:i/>
        </w:rPr>
        <w:t>m</w:t>
      </w:r>
      <w:r w:rsidR="00751A99" w:rsidRPr="00751A99">
        <w:t xml:space="preserve"> the number of intraday observations during day </w:t>
      </w:r>
      <w:r w:rsidR="00751A99" w:rsidRPr="00751A99">
        <w:rPr>
          <w:i/>
        </w:rPr>
        <w:t xml:space="preserve">t. </w:t>
      </w:r>
      <w:r w:rsidR="0080354E" w:rsidRPr="00751A99">
        <w:t xml:space="preserve">Martens (2001) </w:t>
      </w:r>
      <w:r w:rsidR="0080354E">
        <w:t>finds that</w:t>
      </w:r>
      <w:r w:rsidR="0080354E" w:rsidRPr="00751A99">
        <w:t xml:space="preserve"> </w:t>
      </w:r>
      <w:r w:rsidR="0026344B">
        <w:t xml:space="preserve">a </w:t>
      </w:r>
      <w:r w:rsidR="00751A99" w:rsidRPr="00751A99">
        <w:t xml:space="preserve">higher </w:t>
      </w:r>
      <w:r w:rsidR="00751A99" w:rsidRPr="00751A99">
        <w:rPr>
          <w:i/>
        </w:rPr>
        <w:t xml:space="preserve">m </w:t>
      </w:r>
      <w:r w:rsidR="0026344B">
        <w:t xml:space="preserve">provides a </w:t>
      </w:r>
      <w:r w:rsidR="00751A99" w:rsidRPr="00751A99">
        <w:t xml:space="preserve">more accurate daily volatility </w:t>
      </w:r>
      <w:r w:rsidR="0026344B">
        <w:t>estimate</w:t>
      </w:r>
      <w:r w:rsidR="00751A99" w:rsidRPr="00751A99">
        <w:t xml:space="preserve">. However, </w:t>
      </w:r>
      <w:r w:rsidR="0026344B">
        <w:t xml:space="preserve">if </w:t>
      </w:r>
      <w:r w:rsidR="00751A99" w:rsidRPr="00751A99">
        <w:rPr>
          <w:i/>
        </w:rPr>
        <w:t>m</w:t>
      </w:r>
      <w:r w:rsidR="00751A99" w:rsidRPr="00751A99">
        <w:t xml:space="preserve"> is too high, the efficiency of high frequency data can be distorted </w:t>
      </w:r>
      <w:r w:rsidR="0026344B">
        <w:t xml:space="preserve">by </w:t>
      </w:r>
      <w:r w:rsidR="00751A99" w:rsidRPr="00751A99">
        <w:t>microstructure effect</w:t>
      </w:r>
      <w:r w:rsidR="0026344B">
        <w:t>s</w:t>
      </w:r>
      <w:r w:rsidR="00751A99" w:rsidRPr="00751A99">
        <w:t>.</w:t>
      </w:r>
      <w:r w:rsidR="002E5636">
        <w:t xml:space="preserve"> </w:t>
      </w:r>
      <w:proofErr w:type="spellStart"/>
      <w:r w:rsidR="00751A99" w:rsidRPr="00751A99">
        <w:t>Hol</w:t>
      </w:r>
      <w:proofErr w:type="spellEnd"/>
      <w:r w:rsidR="00751A99" w:rsidRPr="00751A99">
        <w:t xml:space="preserve"> </w:t>
      </w:r>
      <w:r w:rsidR="00751A99" w:rsidRPr="0026344B">
        <w:rPr>
          <w:iCs/>
        </w:rPr>
        <w:t>and</w:t>
      </w:r>
      <w:r w:rsidR="00751A99" w:rsidRPr="00751A99">
        <w:t xml:space="preserve"> Koopman (2002) suggest</w:t>
      </w:r>
      <w:r w:rsidR="00751A99">
        <w:t xml:space="preserve"> select</w:t>
      </w:r>
      <w:r w:rsidR="0026344B">
        <w:t xml:space="preserve">ing a </w:t>
      </w:r>
      <w:r w:rsidR="00751A99" w:rsidRPr="00751A99">
        <w:t>frequency interval between 5 and 30 minutes</w:t>
      </w:r>
      <w:r w:rsidR="0026344B">
        <w:t>, while</w:t>
      </w:r>
      <w:r w:rsidR="00751A99">
        <w:t xml:space="preserve"> </w:t>
      </w:r>
      <w:r w:rsidR="00751A99" w:rsidRPr="00751A99">
        <w:t>Liu</w:t>
      </w:r>
      <w:r w:rsidR="00BC3590">
        <w:t xml:space="preserve"> et al.</w:t>
      </w:r>
      <w:r w:rsidR="00751A99" w:rsidRPr="00751A99">
        <w:t xml:space="preserve"> (2015)</w:t>
      </w:r>
      <w:r w:rsidR="00751A99">
        <w:t xml:space="preserve"> </w:t>
      </w:r>
      <w:r w:rsidR="00751A99" w:rsidRPr="00751A99">
        <w:t>compar</w:t>
      </w:r>
      <w:r w:rsidR="00751A99">
        <w:t>e</w:t>
      </w:r>
      <w:r w:rsidR="00751A99" w:rsidRPr="00751A99">
        <w:t xml:space="preserve"> over 400 different real</w:t>
      </w:r>
      <w:r w:rsidR="00751A99">
        <w:t>iz</w:t>
      </w:r>
      <w:r w:rsidR="00751A99" w:rsidRPr="00751A99">
        <w:t>ed measures</w:t>
      </w:r>
      <w:r w:rsidR="00751A99">
        <w:t xml:space="preserve"> and </w:t>
      </w:r>
      <w:r w:rsidR="0026344B">
        <w:t xml:space="preserve">argue </w:t>
      </w:r>
      <w:r w:rsidR="00751A99" w:rsidRPr="00751A99">
        <w:t xml:space="preserve">that </w:t>
      </w:r>
      <w:r w:rsidR="0026344B">
        <w:t>5</w:t>
      </w:r>
      <w:r w:rsidR="00751A99" w:rsidRPr="00751A99">
        <w:t xml:space="preserve">-minute </w:t>
      </w:r>
      <w:r w:rsidR="00751A99">
        <w:t>RV</w:t>
      </w:r>
      <w:r w:rsidR="00BC3590">
        <w:t xml:space="preserve"> is preferred</w:t>
      </w:r>
      <w:r w:rsidR="00751A99">
        <w:t xml:space="preserve">. </w:t>
      </w:r>
    </w:p>
    <w:p w14:paraId="27F5A592" w14:textId="77777777" w:rsidR="00D703FD" w:rsidRDefault="00D703FD" w:rsidP="0034066F">
      <w:pPr>
        <w:widowControl w:val="0"/>
        <w:spacing w:line="480" w:lineRule="auto"/>
      </w:pPr>
    </w:p>
    <w:p w14:paraId="15DD934E" w14:textId="0A03B960" w:rsidR="00D703FD" w:rsidRPr="006C4CE4" w:rsidRDefault="006C4CE4" w:rsidP="0034066F">
      <w:pPr>
        <w:widowControl w:val="0"/>
        <w:spacing w:line="480" w:lineRule="auto"/>
        <w:rPr>
          <w:bCs/>
          <w:i/>
          <w:iCs/>
        </w:rPr>
      </w:pPr>
      <w:r w:rsidRPr="006C4CE4">
        <w:rPr>
          <w:bCs/>
          <w:i/>
          <w:iCs/>
        </w:rPr>
        <w:t xml:space="preserve">2.2. </w:t>
      </w:r>
      <w:r w:rsidR="00D703FD" w:rsidRPr="006C4CE4">
        <w:rPr>
          <w:bCs/>
          <w:i/>
          <w:iCs/>
        </w:rPr>
        <w:t>HAR-RV-X model</w:t>
      </w:r>
    </w:p>
    <w:p w14:paraId="7068D2D4" w14:textId="4914C68C" w:rsidR="00D703FD" w:rsidRPr="00D703FD" w:rsidRDefault="00D703FD" w:rsidP="0034066F">
      <w:pPr>
        <w:widowControl w:val="0"/>
        <w:spacing w:line="480" w:lineRule="auto"/>
        <w:jc w:val="both"/>
      </w:pPr>
      <w:proofErr w:type="spellStart"/>
      <w:r w:rsidRPr="00D703FD">
        <w:t>Corsi</w:t>
      </w:r>
      <w:proofErr w:type="spellEnd"/>
      <w:r w:rsidRPr="00D703FD">
        <w:t xml:space="preserve"> (2009) proposes the HAR-RV model </w:t>
      </w:r>
      <w:r w:rsidR="00612493">
        <w:t>a</w:t>
      </w:r>
      <w:r w:rsidRPr="00D703FD">
        <w:t>s an additive cascade model of different volatility components</w:t>
      </w:r>
      <w:r w:rsidR="006C4CE4">
        <w:t xml:space="preserve"> and is given by</w:t>
      </w:r>
      <w:r w:rsidRPr="00D703FD">
        <w:t>:</w:t>
      </w:r>
    </w:p>
    <w:p w14:paraId="6E759C8F" w14:textId="77777777" w:rsidR="00D703FD" w:rsidRPr="00D703FD" w:rsidRDefault="00D703FD" w:rsidP="0034066F">
      <w:pPr>
        <w:widowControl w:val="0"/>
        <w:spacing w:line="480" w:lineRule="auto"/>
        <w:jc w:val="both"/>
      </w:pPr>
      <w:r w:rsidRPr="00D703FD">
        <w:t xml:space="preserve">            </w:t>
      </w:r>
      <m:oMath>
        <m:sSubSup>
          <m:sSubSupPr>
            <m:ctrlPr>
              <w:rPr>
                <w:rFonts w:ascii="Cambria Math" w:hAnsi="Cambria Math"/>
                <w:i/>
              </w:rPr>
            </m:ctrlPr>
          </m:sSubSupPr>
          <m:e>
            <m:r>
              <w:rPr>
                <w:rFonts w:ascii="Cambria Math" w:hAnsi="Cambria Math"/>
              </w:rPr>
              <m:t>RV</m:t>
            </m:r>
          </m:e>
          <m:sub>
            <m:r>
              <w:rPr>
                <w:rFonts w:ascii="Cambria Math" w:hAnsi="Cambria Math"/>
              </w:rPr>
              <m:t>t+h</m:t>
            </m:r>
          </m:sub>
          <m:sup>
            <m:r>
              <w:rPr>
                <w:rFonts w:ascii="Cambria Math" w:hAnsi="Cambria Math"/>
              </w:rPr>
              <m:t>d</m:t>
            </m:r>
          </m:sup>
        </m:sSubSup>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d</m:t>
            </m:r>
          </m:sub>
        </m:sSub>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d</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w</m:t>
            </m:r>
          </m:sub>
        </m:sSub>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w</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m</m:t>
            </m:r>
          </m:sub>
        </m:sSub>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m</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X</m:t>
            </m:r>
          </m:sub>
        </m:sSub>
        <m:sSubSup>
          <m:sSubSupPr>
            <m:ctrlPr>
              <w:rPr>
                <w:rFonts w:ascii="Cambria Math" w:hAnsi="Cambria Math"/>
                <w:i/>
              </w:rPr>
            </m:ctrlPr>
          </m:sSubSupPr>
          <m:e>
            <m:r>
              <w:rPr>
                <w:rFonts w:ascii="Cambria Math" w:hAnsi="Cambria Math"/>
              </w:rPr>
              <m:t>X</m:t>
            </m:r>
          </m:e>
          <m:sub>
            <m:r>
              <w:rPr>
                <w:rFonts w:ascii="Cambria Math" w:hAnsi="Cambria Math"/>
              </w:rPr>
              <m:t>t</m:t>
            </m:r>
          </m:sub>
          <m:sup>
            <m:r>
              <w:rPr>
                <w:rFonts w:ascii="Cambria Math" w:hAnsi="Cambria Math"/>
              </w:rPr>
              <m:t>d</m:t>
            </m:r>
          </m:sup>
        </m:sSubSup>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t+h</m:t>
            </m:r>
          </m:sub>
        </m:sSub>
      </m:oMath>
      <w:r w:rsidRPr="00D703FD">
        <w:t xml:space="preserve">              </w:t>
      </w:r>
      <w:r>
        <w:t xml:space="preserve">                               </w:t>
      </w:r>
      <w:r w:rsidRPr="00D703FD">
        <w:t>(</w:t>
      </w:r>
      <w:r>
        <w:t>2</w:t>
      </w:r>
      <w:r w:rsidRPr="00D703FD">
        <w:t>)</w:t>
      </w:r>
    </w:p>
    <w:p w14:paraId="04FC0C6D" w14:textId="70BA6D40" w:rsidR="00D703FD" w:rsidRDefault="00D703FD" w:rsidP="0034066F">
      <w:pPr>
        <w:widowControl w:val="0"/>
        <w:spacing w:line="480" w:lineRule="auto"/>
        <w:jc w:val="both"/>
      </w:pPr>
      <w:r w:rsidRPr="00D703FD">
        <w:t xml:space="preserve">where </w:t>
      </w:r>
      <m:oMath>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d</m:t>
            </m:r>
          </m:sup>
        </m:sSubSup>
      </m:oMath>
      <w:r w:rsidRPr="00D703FD">
        <w:t xml:space="preserve"> is </w:t>
      </w:r>
      <w:r w:rsidR="00612493">
        <w:t xml:space="preserve">the </w:t>
      </w:r>
      <w:r w:rsidRPr="00D703FD">
        <w:t xml:space="preserve">daily </w:t>
      </w:r>
      <w:r>
        <w:t>volatility component</w:t>
      </w:r>
      <w:r w:rsidRPr="00D703FD">
        <w:t xml:space="preserve">; </w:t>
      </w:r>
      <m:oMath>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w</m:t>
            </m:r>
          </m:sup>
        </m:sSubSup>
      </m:oMath>
      <w:r w:rsidRPr="00D703FD">
        <w:t xml:space="preserve"> </w:t>
      </w:r>
      <w:r w:rsidR="00612493">
        <w:t xml:space="preserve">the </w:t>
      </w:r>
      <w:r w:rsidRPr="00D703FD">
        <w:t xml:space="preserve">weekly </w:t>
      </w:r>
      <w:r>
        <w:t>component</w:t>
      </w:r>
      <w:r w:rsidRPr="00D703FD">
        <w:t xml:space="preserve">, and </w:t>
      </w:r>
      <m:oMath>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m</m:t>
            </m:r>
          </m:sup>
        </m:sSubSup>
      </m:oMath>
      <w:r w:rsidRPr="00D703FD">
        <w:t xml:space="preserve"> </w:t>
      </w:r>
      <w:r w:rsidR="00612493">
        <w:t xml:space="preserve">the </w:t>
      </w:r>
      <w:r w:rsidRPr="00D703FD">
        <w:t xml:space="preserve">monthly </w:t>
      </w:r>
      <w:r>
        <w:t>component</w:t>
      </w:r>
      <w:r w:rsidR="006C4CE4">
        <w:t>. These latter two components are given by</w:t>
      </w:r>
      <w:r w:rsidRPr="00D703FD">
        <w:t>:</w:t>
      </w:r>
    </w:p>
    <w:p w14:paraId="3790B19E" w14:textId="77777777" w:rsidR="00D703FD" w:rsidRPr="00D703FD" w:rsidRDefault="00D703FD" w:rsidP="0034066F">
      <w:pPr>
        <w:widowControl w:val="0"/>
        <w:spacing w:line="480" w:lineRule="auto"/>
        <w:jc w:val="both"/>
        <w:rPr>
          <w:rFonts w:eastAsiaTheme="minorEastAsia"/>
        </w:rPr>
      </w:pPr>
      <w:r>
        <w:rPr>
          <w:rFonts w:eastAsiaTheme="minorEastAsia"/>
        </w:rPr>
        <w:t xml:space="preserve">            </w:t>
      </w:r>
      <m:oMath>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w</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5</m:t>
            </m:r>
          </m:den>
        </m:f>
        <m:r>
          <w:rPr>
            <w:rFonts w:ascii="Cambria Math" w:hAnsi="Cambria Math"/>
          </w:rPr>
          <m:t>(</m:t>
        </m:r>
        <m:sSubSup>
          <m:sSubSupPr>
            <m:ctrlPr>
              <w:rPr>
                <w:rFonts w:ascii="Cambria Math" w:hAnsi="Cambria Math"/>
                <w:i/>
              </w:rPr>
            </m:ctrlPr>
          </m:sSubSupPr>
          <m:e>
            <m:r>
              <w:rPr>
                <w:rFonts w:ascii="Cambria Math" w:hAnsi="Cambria Math"/>
              </w:rPr>
              <m:t>RV</m:t>
            </m:r>
          </m:e>
          <m:sub>
            <m:r>
              <w:rPr>
                <w:rFonts w:ascii="Cambria Math" w:hAnsi="Cambria Math"/>
              </w:rPr>
              <m:t>t-5</m:t>
            </m:r>
          </m:sub>
          <m:sup>
            <m:r>
              <w:rPr>
                <w:rFonts w:ascii="Cambria Math" w:hAnsi="Cambria Math"/>
              </w:rPr>
              <m:t>d</m:t>
            </m:r>
          </m:sup>
        </m:sSubSup>
        <m:r>
          <w:rPr>
            <w:rFonts w:ascii="Cambria Math" w:hAnsi="Cambria Math"/>
          </w:rPr>
          <m:t>+</m:t>
        </m:r>
        <m:sSubSup>
          <m:sSubSupPr>
            <m:ctrlPr>
              <w:rPr>
                <w:rFonts w:ascii="Cambria Math" w:hAnsi="Cambria Math"/>
                <w:i/>
              </w:rPr>
            </m:ctrlPr>
          </m:sSubSupPr>
          <m:e>
            <m:r>
              <w:rPr>
                <w:rFonts w:ascii="Cambria Math" w:hAnsi="Cambria Math"/>
              </w:rPr>
              <m:t>RV</m:t>
            </m:r>
          </m:e>
          <m:sub>
            <m:r>
              <w:rPr>
                <w:rFonts w:ascii="Cambria Math" w:hAnsi="Cambria Math"/>
              </w:rPr>
              <m:t>t-4</m:t>
            </m:r>
          </m:sub>
          <m:sup>
            <m:r>
              <w:rPr>
                <w:rFonts w:ascii="Cambria Math" w:hAnsi="Cambria Math"/>
              </w:rPr>
              <m:t>d</m:t>
            </m:r>
          </m:sup>
        </m:sSubSup>
        <m:r>
          <w:rPr>
            <w:rFonts w:ascii="Cambria Math" w:hAnsi="Cambria Math"/>
          </w:rPr>
          <m:t>+…+</m:t>
        </m:r>
        <m:sSubSup>
          <m:sSubSupPr>
            <m:ctrlPr>
              <w:rPr>
                <w:rFonts w:ascii="Cambria Math" w:hAnsi="Cambria Math"/>
                <w:i/>
              </w:rPr>
            </m:ctrlPr>
          </m:sSubSupPr>
          <m:e>
            <m:r>
              <w:rPr>
                <w:rFonts w:ascii="Cambria Math" w:hAnsi="Cambria Math"/>
              </w:rPr>
              <m:t>RV</m:t>
            </m:r>
          </m:e>
          <m:sub>
            <m:r>
              <w:rPr>
                <w:rFonts w:ascii="Cambria Math" w:hAnsi="Cambria Math"/>
              </w:rPr>
              <m:t>t-1</m:t>
            </m:r>
          </m:sub>
          <m:sup>
            <m:r>
              <w:rPr>
                <w:rFonts w:ascii="Cambria Math" w:hAnsi="Cambria Math"/>
              </w:rPr>
              <m:t>d</m:t>
            </m:r>
          </m:sup>
        </m:sSubSup>
        <m:r>
          <w:rPr>
            <w:rFonts w:ascii="Cambria Math" w:hAnsi="Cambria Math"/>
          </w:rPr>
          <m:t>)</m:t>
        </m:r>
      </m:oMath>
      <w:r>
        <w:rPr>
          <w:rFonts w:eastAsiaTheme="minorEastAsia"/>
        </w:rPr>
        <w:t xml:space="preserve">                                                                             (3)</w:t>
      </w:r>
    </w:p>
    <w:p w14:paraId="640C2C95" w14:textId="77777777" w:rsidR="00D703FD" w:rsidRPr="00D703FD" w:rsidRDefault="00D703FD" w:rsidP="0034066F">
      <w:pPr>
        <w:widowControl w:val="0"/>
        <w:spacing w:line="480" w:lineRule="auto"/>
        <w:jc w:val="both"/>
      </w:pPr>
      <w:r w:rsidRPr="00D703FD">
        <w:t xml:space="preserve">            </w:t>
      </w:r>
      <m:oMath>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m</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22</m:t>
            </m:r>
          </m:den>
        </m:f>
        <m:r>
          <w:rPr>
            <w:rFonts w:ascii="Cambria Math" w:hAnsi="Cambria Math"/>
          </w:rPr>
          <m:t>(</m:t>
        </m:r>
        <m:sSubSup>
          <m:sSubSupPr>
            <m:ctrlPr>
              <w:rPr>
                <w:rFonts w:ascii="Cambria Math" w:hAnsi="Cambria Math"/>
                <w:i/>
              </w:rPr>
            </m:ctrlPr>
          </m:sSubSupPr>
          <m:e>
            <m:r>
              <w:rPr>
                <w:rFonts w:ascii="Cambria Math" w:hAnsi="Cambria Math"/>
              </w:rPr>
              <m:t>RV</m:t>
            </m:r>
          </m:e>
          <m:sub>
            <m:r>
              <w:rPr>
                <w:rFonts w:ascii="Cambria Math" w:hAnsi="Cambria Math"/>
              </w:rPr>
              <m:t>t-22</m:t>
            </m:r>
          </m:sub>
          <m:sup>
            <m:r>
              <w:rPr>
                <w:rFonts w:ascii="Cambria Math" w:hAnsi="Cambria Math"/>
              </w:rPr>
              <m:t>d</m:t>
            </m:r>
          </m:sup>
        </m:sSubSup>
        <m:r>
          <w:rPr>
            <w:rFonts w:ascii="Cambria Math" w:hAnsi="Cambria Math"/>
          </w:rPr>
          <m:t>+</m:t>
        </m:r>
        <m:sSubSup>
          <m:sSubSupPr>
            <m:ctrlPr>
              <w:rPr>
                <w:rFonts w:ascii="Cambria Math" w:hAnsi="Cambria Math"/>
                <w:i/>
              </w:rPr>
            </m:ctrlPr>
          </m:sSubSupPr>
          <m:e>
            <m:r>
              <w:rPr>
                <w:rFonts w:ascii="Cambria Math" w:hAnsi="Cambria Math"/>
              </w:rPr>
              <m:t>RV</m:t>
            </m:r>
          </m:e>
          <m:sub>
            <m:r>
              <w:rPr>
                <w:rFonts w:ascii="Cambria Math" w:hAnsi="Cambria Math"/>
              </w:rPr>
              <m:t>t-21</m:t>
            </m:r>
          </m:sub>
          <m:sup>
            <m:r>
              <w:rPr>
                <w:rFonts w:ascii="Cambria Math" w:hAnsi="Cambria Math"/>
              </w:rPr>
              <m:t>d</m:t>
            </m:r>
          </m:sup>
        </m:sSubSup>
        <m:r>
          <w:rPr>
            <w:rFonts w:ascii="Cambria Math" w:hAnsi="Cambria Math"/>
          </w:rPr>
          <m:t>+…+</m:t>
        </m:r>
        <m:sSubSup>
          <m:sSubSupPr>
            <m:ctrlPr>
              <w:rPr>
                <w:rFonts w:ascii="Cambria Math" w:hAnsi="Cambria Math"/>
                <w:i/>
              </w:rPr>
            </m:ctrlPr>
          </m:sSubSupPr>
          <m:e>
            <m:r>
              <w:rPr>
                <w:rFonts w:ascii="Cambria Math" w:hAnsi="Cambria Math"/>
              </w:rPr>
              <m:t>RV</m:t>
            </m:r>
          </m:e>
          <m:sub>
            <m:r>
              <w:rPr>
                <w:rFonts w:ascii="Cambria Math" w:hAnsi="Cambria Math"/>
              </w:rPr>
              <m:t>t-1</m:t>
            </m:r>
          </m:sub>
          <m:sup>
            <m:r>
              <w:rPr>
                <w:rFonts w:ascii="Cambria Math" w:hAnsi="Cambria Math"/>
              </w:rPr>
              <m:t>d</m:t>
            </m:r>
          </m:sup>
        </m:sSubSup>
        <m:r>
          <w:rPr>
            <w:rFonts w:ascii="Cambria Math" w:hAnsi="Cambria Math"/>
          </w:rPr>
          <m:t>)</m:t>
        </m:r>
      </m:oMath>
      <w:r>
        <w:rPr>
          <w:rFonts w:eastAsiaTheme="minorEastAsia"/>
        </w:rPr>
        <w:t xml:space="preserve">                                                                        (4)</w:t>
      </w:r>
    </w:p>
    <w:p w14:paraId="10F09B65" w14:textId="019D8BC8" w:rsidR="00D703FD" w:rsidRDefault="00612493" w:rsidP="0034066F">
      <w:pPr>
        <w:widowControl w:val="0"/>
        <w:spacing w:line="480" w:lineRule="auto"/>
        <w:jc w:val="both"/>
      </w:pPr>
      <w:r>
        <w:t xml:space="preserve">An advantage of the </w:t>
      </w:r>
      <w:r w:rsidR="00D703FD" w:rsidRPr="00D703FD">
        <w:t xml:space="preserve">HAR-RV model </w:t>
      </w:r>
      <w:r>
        <w:t xml:space="preserve">is that it </w:t>
      </w:r>
      <w:r w:rsidR="00D703FD" w:rsidRPr="00D703FD">
        <w:t xml:space="preserve">can be estimated </w:t>
      </w:r>
      <w:r w:rsidR="006C4CE4">
        <w:t xml:space="preserve">using </w:t>
      </w:r>
      <w:r w:rsidR="00D703FD" w:rsidRPr="00D703FD">
        <w:t>OLS</w:t>
      </w:r>
      <w:r>
        <w:t>, while t</w:t>
      </w:r>
      <w:r w:rsidR="00D703FD" w:rsidRPr="00D703FD">
        <w:t>he model</w:t>
      </w:r>
      <w:r w:rsidR="00D703FD">
        <w:t xml:space="preserve"> parameters</w:t>
      </w:r>
      <w:r w:rsidR="00D703FD" w:rsidRPr="00D703FD">
        <w:t xml:space="preserve"> </w:t>
      </w:r>
      <w:r w:rsidR="006C4CE4">
        <w:t xml:space="preserve">are designed to </w:t>
      </w:r>
      <w:r w:rsidR="00D703FD" w:rsidRPr="00D703FD">
        <w:t>represent short-, middle-, and long-term investors</w:t>
      </w:r>
      <w:r w:rsidR="006C4CE4">
        <w:t>, the reactions of</w:t>
      </w:r>
      <w:r w:rsidR="00D703FD" w:rsidRPr="00D703FD">
        <w:t xml:space="preserve"> </w:t>
      </w:r>
      <w:r w:rsidR="006C4CE4">
        <w:t>which drive volatility</w:t>
      </w:r>
      <w:r w:rsidR="00D703FD" w:rsidRPr="00D703FD">
        <w:t xml:space="preserve">. </w:t>
      </w:r>
      <w:r w:rsidR="006C4CE4">
        <w:t>In equation (2), the</w:t>
      </w:r>
      <w:r w:rsidR="006C4CE4">
        <w:rPr>
          <w:rFonts w:eastAsiaTheme="minorEastAsia"/>
        </w:rP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X</m:t>
            </m:r>
          </m:sub>
        </m:sSub>
        <m:sSubSup>
          <m:sSubSupPr>
            <m:ctrlPr>
              <w:rPr>
                <w:rFonts w:ascii="Cambria Math" w:hAnsi="Cambria Math"/>
                <w:i/>
              </w:rPr>
            </m:ctrlPr>
          </m:sSubSupPr>
          <m:e>
            <m:r>
              <w:rPr>
                <w:rFonts w:ascii="Cambria Math" w:hAnsi="Cambria Math"/>
              </w:rPr>
              <m:t>X</m:t>
            </m:r>
          </m:e>
          <m:sub>
            <m:r>
              <w:rPr>
                <w:rFonts w:ascii="Cambria Math" w:hAnsi="Cambria Math"/>
              </w:rPr>
              <m:t>t</m:t>
            </m:r>
          </m:sub>
          <m:sup>
            <m:r>
              <w:rPr>
                <w:rFonts w:ascii="Cambria Math" w:hAnsi="Cambria Math"/>
              </w:rPr>
              <m:t>d</m:t>
            </m:r>
          </m:sup>
        </m:sSubSup>
      </m:oMath>
      <w:r w:rsidR="006C4CE4">
        <w:rPr>
          <w:rFonts w:eastAsiaTheme="minorEastAsia"/>
        </w:rPr>
        <w:t xml:space="preserve"> refers to</w:t>
      </w:r>
      <w:r w:rsidR="006C4CE4" w:rsidRPr="00D703FD">
        <w:t xml:space="preserve"> </w:t>
      </w:r>
      <w:r w:rsidR="006C4CE4">
        <w:t>any included exogenous variables</w:t>
      </w:r>
      <w:r>
        <w:t>.</w:t>
      </w:r>
    </w:p>
    <w:p w14:paraId="1B744338" w14:textId="77777777" w:rsidR="00BF39B7" w:rsidRPr="00D703FD" w:rsidRDefault="00BF39B7" w:rsidP="0034066F">
      <w:pPr>
        <w:widowControl w:val="0"/>
        <w:spacing w:line="480" w:lineRule="auto"/>
        <w:jc w:val="both"/>
      </w:pPr>
    </w:p>
    <w:p w14:paraId="29F9580C" w14:textId="46E1DBEC" w:rsidR="00171137" w:rsidRPr="00514AFA" w:rsidRDefault="00514AFA" w:rsidP="0034066F">
      <w:pPr>
        <w:widowControl w:val="0"/>
        <w:spacing w:line="480" w:lineRule="auto"/>
        <w:rPr>
          <w:bCs/>
          <w:i/>
          <w:iCs/>
        </w:rPr>
      </w:pPr>
      <w:r w:rsidRPr="00514AFA">
        <w:rPr>
          <w:bCs/>
          <w:i/>
          <w:iCs/>
        </w:rPr>
        <w:t xml:space="preserve">2.3. </w:t>
      </w:r>
      <w:r w:rsidR="00171137" w:rsidRPr="00514AFA">
        <w:rPr>
          <w:bCs/>
          <w:i/>
          <w:iCs/>
        </w:rPr>
        <w:t>R</w:t>
      </w:r>
      <w:r w:rsidR="001B3B2E" w:rsidRPr="00514AFA">
        <w:rPr>
          <w:bCs/>
          <w:i/>
          <w:iCs/>
        </w:rPr>
        <w:t>ange</w:t>
      </w:r>
      <w:r w:rsidR="00171137" w:rsidRPr="00514AFA">
        <w:rPr>
          <w:bCs/>
          <w:i/>
          <w:iCs/>
        </w:rPr>
        <w:t xml:space="preserve"> B</w:t>
      </w:r>
      <w:r w:rsidR="001B3B2E" w:rsidRPr="00514AFA">
        <w:rPr>
          <w:bCs/>
          <w:i/>
          <w:iCs/>
        </w:rPr>
        <w:t>ased</w:t>
      </w:r>
      <w:r w:rsidR="00171137" w:rsidRPr="00514AFA">
        <w:rPr>
          <w:bCs/>
          <w:i/>
          <w:iCs/>
        </w:rPr>
        <w:t xml:space="preserve"> V</w:t>
      </w:r>
      <w:r w:rsidR="001B3B2E" w:rsidRPr="00514AFA">
        <w:rPr>
          <w:bCs/>
          <w:i/>
          <w:iCs/>
        </w:rPr>
        <w:t>olatility</w:t>
      </w:r>
      <w:r w:rsidR="00171137" w:rsidRPr="00514AFA">
        <w:rPr>
          <w:bCs/>
          <w:i/>
          <w:iCs/>
        </w:rPr>
        <w:t xml:space="preserve"> E</w:t>
      </w:r>
      <w:r w:rsidR="001B3B2E" w:rsidRPr="00514AFA">
        <w:rPr>
          <w:bCs/>
          <w:i/>
          <w:iCs/>
        </w:rPr>
        <w:t>stimators</w:t>
      </w:r>
    </w:p>
    <w:p w14:paraId="7F1414E8" w14:textId="77777777" w:rsidR="00514AFA" w:rsidRDefault="00514AFA" w:rsidP="0034066F">
      <w:pPr>
        <w:widowControl w:val="0"/>
        <w:spacing w:line="480" w:lineRule="auto"/>
        <w:jc w:val="both"/>
        <w:rPr>
          <w:rFonts w:eastAsiaTheme="minorEastAsia"/>
        </w:rPr>
      </w:pPr>
      <w:r>
        <w:rPr>
          <w:rFonts w:eastAsiaTheme="minorEastAsia"/>
        </w:rPr>
        <w:t>We consider several r</w:t>
      </w:r>
      <w:r w:rsidR="0080354E">
        <w:rPr>
          <w:rFonts w:eastAsiaTheme="minorEastAsia"/>
        </w:rPr>
        <w:t>ange</w:t>
      </w:r>
      <w:r>
        <w:rPr>
          <w:rFonts w:eastAsiaTheme="minorEastAsia"/>
        </w:rPr>
        <w:t>-</w:t>
      </w:r>
      <w:r w:rsidR="0080354E">
        <w:rPr>
          <w:rFonts w:eastAsiaTheme="minorEastAsia"/>
        </w:rPr>
        <w:t xml:space="preserve">based volatility estimators derived from OHLC prices. </w:t>
      </w:r>
      <w:r>
        <w:rPr>
          <w:rFonts w:eastAsiaTheme="minorEastAsia"/>
        </w:rPr>
        <w:t>Clos</w:t>
      </w:r>
      <w:r w:rsidR="0080354E">
        <w:rPr>
          <w:rFonts w:eastAsiaTheme="minorEastAsia"/>
        </w:rPr>
        <w:t>e-to-close volatility</w:t>
      </w:r>
      <w:r>
        <w:rPr>
          <w:rFonts w:eastAsiaTheme="minorEastAsia"/>
        </w:rPr>
        <w:t xml:space="preserve"> is presented in equation (5</w:t>
      </w:r>
      <w:r w:rsidR="00D703FD">
        <w:rPr>
          <w:rFonts w:eastAsiaTheme="minorEastAsia"/>
        </w:rPr>
        <w:t>)</w:t>
      </w:r>
      <w:r>
        <w:rPr>
          <w:rFonts w:eastAsiaTheme="minorEastAsia"/>
        </w:rPr>
        <w:t xml:space="preserve"> as:</w:t>
      </w:r>
    </w:p>
    <w:p w14:paraId="40BAF7FE" w14:textId="77777777" w:rsidR="00171137" w:rsidRDefault="008C2A9A" w:rsidP="0034066F">
      <w:pPr>
        <w:widowControl w:val="0"/>
        <w:spacing w:line="480" w:lineRule="auto"/>
      </w:pPr>
      <w:r>
        <w:rPr>
          <w:rFonts w:eastAsiaTheme="minorEastAsia"/>
        </w:rPr>
        <w:lastRenderedPageBreak/>
        <w:t xml:space="preserve">     </w:t>
      </w:r>
      <w:r w:rsidR="00746696">
        <w:rPr>
          <w:rFonts w:eastAsiaTheme="minorEastAsia"/>
        </w:rPr>
        <w:t xml:space="preserve">    </w:t>
      </w:r>
      <w:r>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CC,t</m:t>
            </m:r>
          </m:sub>
        </m:sSub>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sSub>
              <m:sSubPr>
                <m:ctrlPr>
                  <w:rPr>
                    <w:rFonts w:ascii="Cambria Math" w:hAnsi="Cambria Math"/>
                    <w:i/>
                  </w:rPr>
                </m:ctrlPr>
              </m:sSubPr>
              <m:e>
                <m:r>
                  <w:rPr>
                    <w:rFonts w:ascii="Cambria Math" w:hAnsi="Cambria Math"/>
                  </w:rPr>
                  <m:t>C</m:t>
                </m:r>
              </m:e>
              <m:sub>
                <m:r>
                  <w:rPr>
                    <w:rFonts w:ascii="Cambria Math" w:hAnsi="Cambria Math"/>
                  </w:rPr>
                  <m:t>t-1</m:t>
                </m:r>
              </m:sub>
            </m:sSub>
          </m:den>
        </m:f>
        <m:sSup>
          <m:sSupPr>
            <m:ctrlPr>
              <w:rPr>
                <w:rFonts w:ascii="Cambria Math" w:hAnsi="Cambria Math"/>
                <w:i/>
              </w:rPr>
            </m:ctrlPr>
          </m:sSupPr>
          <m:e>
            <m:r>
              <w:rPr>
                <w:rFonts w:ascii="Cambria Math" w:hAnsi="Cambria Math"/>
              </w:rPr>
              <m:t>)</m:t>
            </m:r>
          </m:e>
          <m:sup>
            <m:r>
              <w:rPr>
                <w:rFonts w:ascii="Cambria Math" w:hAnsi="Cambria Math"/>
              </w:rPr>
              <m:t>2</m:t>
            </m:r>
          </m:sup>
        </m:sSup>
      </m:oMath>
      <w:r w:rsidR="00171137">
        <w:rPr>
          <w:rFonts w:eastAsiaTheme="minorEastAsia"/>
        </w:rPr>
        <w:t xml:space="preserve">                                                                                                                     (</w:t>
      </w:r>
      <w:r w:rsidR="00D703FD">
        <w:rPr>
          <w:rFonts w:eastAsiaTheme="minorEastAsia"/>
        </w:rPr>
        <w:t>5</w:t>
      </w:r>
      <w:r w:rsidR="00171137">
        <w:rPr>
          <w:rFonts w:eastAsiaTheme="minorEastAsia"/>
        </w:rPr>
        <w:t xml:space="preserve">)    </w:t>
      </w:r>
    </w:p>
    <w:p w14:paraId="30BDAC56" w14:textId="16D4130A" w:rsidR="00171137" w:rsidRDefault="008D2CF6" w:rsidP="0034066F">
      <w:pPr>
        <w:widowControl w:val="0"/>
        <w:spacing w:line="480" w:lineRule="auto"/>
        <w:jc w:val="both"/>
        <w:rPr>
          <w:rFonts w:eastAsiaTheme="minorEastAsia"/>
        </w:rPr>
      </w:pPr>
      <w:r>
        <w:rPr>
          <w:rFonts w:eastAsiaTheme="minorEastAsia"/>
        </w:rPr>
        <w:t>C</w:t>
      </w:r>
      <w:r w:rsidR="0080354E">
        <w:rPr>
          <w:rFonts w:eastAsiaTheme="minorEastAsia"/>
        </w:rPr>
        <w:t>lose-to-close volatility i</w:t>
      </w:r>
      <w:r w:rsidR="00514AFA">
        <w:rPr>
          <w:rFonts w:eastAsiaTheme="minorEastAsia"/>
        </w:rPr>
        <w:t xml:space="preserve">s simply </w:t>
      </w:r>
      <w:r w:rsidR="0080354E">
        <w:rPr>
          <w:rFonts w:eastAsiaTheme="minorEastAsia"/>
        </w:rPr>
        <w:t xml:space="preserve">squared daily returns </w:t>
      </w:r>
      <w:r w:rsidR="00514AFA">
        <w:rPr>
          <w:rFonts w:eastAsiaTheme="minorEastAsia"/>
        </w:rPr>
        <w:t xml:space="preserve">and </w:t>
      </w:r>
      <w:r w:rsidR="0080354E">
        <w:rPr>
          <w:rFonts w:eastAsiaTheme="minorEastAsia"/>
        </w:rPr>
        <w:t xml:space="preserve">is one of the most widely used </w:t>
      </w:r>
      <w:r w:rsidR="00514AFA">
        <w:rPr>
          <w:rFonts w:eastAsiaTheme="minorEastAsia"/>
        </w:rPr>
        <w:t xml:space="preserve">volatility </w:t>
      </w:r>
      <w:r w:rsidR="0080354E">
        <w:rPr>
          <w:rFonts w:eastAsiaTheme="minorEastAsia"/>
        </w:rPr>
        <w:t>measure</w:t>
      </w:r>
      <w:r w:rsidR="00514AFA">
        <w:rPr>
          <w:rFonts w:eastAsiaTheme="minorEastAsia"/>
        </w:rPr>
        <w:t>s</w:t>
      </w:r>
      <w:r w:rsidR="00306C35">
        <w:rPr>
          <w:rFonts w:eastAsiaTheme="minorEastAsia"/>
        </w:rPr>
        <w:t xml:space="preserve"> and </w:t>
      </w:r>
      <w:r w:rsidR="0080354E">
        <w:rPr>
          <w:rFonts w:eastAsiaTheme="minorEastAsia"/>
        </w:rPr>
        <w:t xml:space="preserve">often employed as </w:t>
      </w:r>
      <w:r w:rsidR="00306C35">
        <w:rPr>
          <w:rFonts w:eastAsiaTheme="minorEastAsia"/>
        </w:rPr>
        <w:t xml:space="preserve">the true </w:t>
      </w:r>
      <w:r w:rsidR="0080354E">
        <w:rPr>
          <w:rFonts w:eastAsiaTheme="minorEastAsia"/>
        </w:rPr>
        <w:t>volatility proxy. Close-to-close volatility</w:t>
      </w:r>
      <w:r w:rsidR="00306C35">
        <w:rPr>
          <w:rFonts w:eastAsiaTheme="minorEastAsia"/>
        </w:rPr>
        <w:t xml:space="preserve">, in capturing only closing prices, </w:t>
      </w:r>
      <w:r w:rsidR="0080354E">
        <w:rPr>
          <w:rFonts w:eastAsiaTheme="minorEastAsia"/>
        </w:rPr>
        <w:t xml:space="preserve">is </w:t>
      </w:r>
      <w:r w:rsidR="00514AFA">
        <w:rPr>
          <w:rFonts w:eastAsiaTheme="minorEastAsia"/>
        </w:rPr>
        <w:t xml:space="preserve">perhaps of </w:t>
      </w:r>
      <w:r w:rsidR="00306C35">
        <w:rPr>
          <w:rFonts w:eastAsiaTheme="minorEastAsia"/>
        </w:rPr>
        <w:t xml:space="preserve">most </w:t>
      </w:r>
      <w:r w:rsidR="00514AFA">
        <w:rPr>
          <w:rFonts w:eastAsiaTheme="minorEastAsia"/>
        </w:rPr>
        <w:t xml:space="preserve">interest to </w:t>
      </w:r>
      <w:r w:rsidR="0080354E">
        <w:rPr>
          <w:rFonts w:eastAsiaTheme="minorEastAsia"/>
        </w:rPr>
        <w:t>long</w:t>
      </w:r>
      <w:r w:rsidR="00514AFA">
        <w:rPr>
          <w:rFonts w:eastAsiaTheme="minorEastAsia"/>
        </w:rPr>
        <w:t>-</w:t>
      </w:r>
      <w:r w:rsidR="0080354E">
        <w:rPr>
          <w:rFonts w:eastAsiaTheme="minorEastAsia"/>
        </w:rPr>
        <w:t xml:space="preserve">term </w:t>
      </w:r>
      <w:r w:rsidR="00514AFA">
        <w:rPr>
          <w:rFonts w:eastAsiaTheme="minorEastAsia"/>
        </w:rPr>
        <w:t xml:space="preserve">or </w:t>
      </w:r>
      <w:r w:rsidR="0080354E">
        <w:rPr>
          <w:rFonts w:eastAsiaTheme="minorEastAsia"/>
        </w:rPr>
        <w:t>passive invest</w:t>
      </w:r>
      <w:r w:rsidR="00514AFA">
        <w:rPr>
          <w:rFonts w:eastAsiaTheme="minorEastAsia"/>
        </w:rPr>
        <w:t>ors</w:t>
      </w:r>
      <w:r w:rsidR="0080354E">
        <w:rPr>
          <w:rFonts w:eastAsiaTheme="minorEastAsia"/>
        </w:rPr>
        <w:t xml:space="preserve">. However, investors who focus on intraday trading </w:t>
      </w:r>
      <w:r>
        <w:rPr>
          <w:rFonts w:eastAsiaTheme="minorEastAsia"/>
        </w:rPr>
        <w:t xml:space="preserve">are </w:t>
      </w:r>
      <w:r w:rsidR="00306C35">
        <w:rPr>
          <w:rFonts w:eastAsiaTheme="minorEastAsia"/>
        </w:rPr>
        <w:t xml:space="preserve">also </w:t>
      </w:r>
      <w:r>
        <w:rPr>
          <w:rFonts w:eastAsiaTheme="minorEastAsia"/>
        </w:rPr>
        <w:t xml:space="preserve">interested </w:t>
      </w:r>
      <w:r w:rsidR="00306C35">
        <w:rPr>
          <w:rFonts w:eastAsiaTheme="minorEastAsia"/>
        </w:rPr>
        <w:t xml:space="preserve">in </w:t>
      </w:r>
      <w:r w:rsidR="0080354E">
        <w:rPr>
          <w:rFonts w:eastAsiaTheme="minorEastAsia"/>
        </w:rPr>
        <w:t xml:space="preserve">OHLC prices. </w:t>
      </w:r>
      <w:r>
        <w:rPr>
          <w:rFonts w:eastAsiaTheme="minorEastAsia"/>
        </w:rPr>
        <w:t xml:space="preserve">Equation (6) presents the overnight volatility estimator proposed by Brooks et al. (2000). </w:t>
      </w:r>
      <w:r w:rsidR="0080354E">
        <w:rPr>
          <w:rFonts w:eastAsiaTheme="minorEastAsia"/>
        </w:rPr>
        <w:t xml:space="preserve"> </w:t>
      </w:r>
    </w:p>
    <w:p w14:paraId="6446247C" w14:textId="77777777" w:rsidR="00171137" w:rsidRDefault="008C2A9A" w:rsidP="0034066F">
      <w:pPr>
        <w:widowControl w:val="0"/>
        <w:spacing w:line="480" w:lineRule="auto"/>
      </w:pPr>
      <w:r>
        <w:rPr>
          <w:rFonts w:eastAsiaTheme="minorEastAsia"/>
        </w:rPr>
        <w:t xml:space="preserve">    </w:t>
      </w:r>
      <w:r w:rsidR="00746696">
        <w:rPr>
          <w:rFonts w:eastAsiaTheme="minorEastAsia"/>
        </w:rPr>
        <w:t xml:space="preserve">     </w:t>
      </w:r>
      <w:r>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ONV,t</m:t>
            </m:r>
          </m:sub>
        </m:sSub>
        <m:r>
          <w:rPr>
            <w:rFonts w:ascii="Cambria Math" w:hAnsi="Cambria Math"/>
          </w:rPr>
          <m:t>=(</m:t>
        </m:r>
        <m:r>
          <m:rPr>
            <m:sty m:val="p"/>
          </m:rPr>
          <w:rPr>
            <w:rFonts w:ascii="Cambria Math" w:hAnsi="Cambria Math"/>
          </w:rPr>
          <m:t>ln⁡</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O</m:t>
                </m:r>
              </m:e>
              <m:sub>
                <m:r>
                  <w:rPr>
                    <w:rFonts w:ascii="Cambria Math" w:hAnsi="Cambria Math"/>
                  </w:rPr>
                  <m:t>t</m:t>
                </m:r>
              </m:sub>
            </m:sSub>
          </m:num>
          <m:den>
            <m:sSub>
              <m:sSubPr>
                <m:ctrlPr>
                  <w:rPr>
                    <w:rFonts w:ascii="Cambria Math" w:hAnsi="Cambria Math"/>
                    <w:i/>
                  </w:rPr>
                </m:ctrlPr>
              </m:sSubPr>
              <m:e>
                <m:r>
                  <w:rPr>
                    <w:rFonts w:ascii="Cambria Math" w:hAnsi="Cambria Math"/>
                  </w:rPr>
                  <m:t>C</m:t>
                </m:r>
              </m:e>
              <m:sub>
                <m:r>
                  <w:rPr>
                    <w:rFonts w:ascii="Cambria Math" w:hAnsi="Cambria Math"/>
                  </w:rPr>
                  <m:t>t-1</m:t>
                </m:r>
              </m:sub>
            </m:sSub>
          </m:den>
        </m:f>
        <m:sSup>
          <m:sSupPr>
            <m:ctrlPr>
              <w:rPr>
                <w:rFonts w:ascii="Cambria Math" w:hAnsi="Cambria Math"/>
                <w:i/>
              </w:rPr>
            </m:ctrlPr>
          </m:sSupPr>
          <m:e>
            <m:r>
              <w:rPr>
                <w:rFonts w:ascii="Cambria Math" w:hAnsi="Cambria Math"/>
              </w:rPr>
              <m:t>))</m:t>
            </m:r>
          </m:e>
          <m:sup>
            <m:r>
              <w:rPr>
                <w:rFonts w:ascii="Cambria Math" w:hAnsi="Cambria Math"/>
              </w:rPr>
              <m:t>2</m:t>
            </m:r>
          </m:sup>
        </m:sSup>
      </m:oMath>
      <w:r w:rsidR="00171137">
        <w:rPr>
          <w:rFonts w:eastAsiaTheme="minorEastAsia"/>
        </w:rPr>
        <w:t xml:space="preserve">                                                                                                              (</w:t>
      </w:r>
      <w:r w:rsidR="00D703FD">
        <w:rPr>
          <w:rFonts w:eastAsiaTheme="minorEastAsia"/>
        </w:rPr>
        <w:t>6</w:t>
      </w:r>
      <w:r w:rsidR="00171137">
        <w:rPr>
          <w:rFonts w:eastAsiaTheme="minorEastAsia"/>
        </w:rPr>
        <w:t>)</w:t>
      </w:r>
    </w:p>
    <w:p w14:paraId="7076965F" w14:textId="4219729E" w:rsidR="008D2CF6" w:rsidRDefault="008D2CF6" w:rsidP="0034066F">
      <w:pPr>
        <w:widowControl w:val="0"/>
        <w:spacing w:line="480" w:lineRule="auto"/>
        <w:jc w:val="both"/>
        <w:rPr>
          <w:rFonts w:eastAsiaTheme="minorEastAsia"/>
        </w:rPr>
      </w:pPr>
      <w:r>
        <w:rPr>
          <w:rFonts w:eastAsiaTheme="minorEastAsia"/>
        </w:rPr>
        <w:t xml:space="preserve">This measure </w:t>
      </w:r>
      <w:r w:rsidR="002E5636">
        <w:rPr>
          <w:rFonts w:eastAsiaTheme="minorEastAsia"/>
        </w:rPr>
        <w:t xml:space="preserve">requires today’s open and yesterday’s close prices to capture accumulated overnight information </w:t>
      </w:r>
      <w:r w:rsidR="00306C35">
        <w:rPr>
          <w:rFonts w:eastAsiaTheme="minorEastAsia"/>
        </w:rPr>
        <w:t xml:space="preserve">and is argued to </w:t>
      </w:r>
      <w:r w:rsidR="002E5636">
        <w:rPr>
          <w:rFonts w:eastAsiaTheme="minorEastAsia"/>
        </w:rPr>
        <w:t xml:space="preserve">improve volatility </w:t>
      </w:r>
      <w:r>
        <w:rPr>
          <w:rFonts w:eastAsiaTheme="minorEastAsia"/>
        </w:rPr>
        <w:t xml:space="preserve">forecasts (see, for example, </w:t>
      </w:r>
      <w:r w:rsidR="003728D2">
        <w:rPr>
          <w:rFonts w:eastAsiaTheme="minorEastAsia"/>
        </w:rPr>
        <w:t xml:space="preserve">Wang et al., 2015; </w:t>
      </w:r>
      <w:proofErr w:type="spellStart"/>
      <w:r w:rsidR="003728D2">
        <w:t>Kambouroudis</w:t>
      </w:r>
      <w:proofErr w:type="spellEnd"/>
      <w:r w:rsidR="003728D2">
        <w:t xml:space="preserve"> et al., 2021</w:t>
      </w:r>
      <w:r w:rsidR="0020155E">
        <w:rPr>
          <w:rFonts w:eastAsiaTheme="minorEastAsia"/>
        </w:rPr>
        <w:t>)</w:t>
      </w:r>
      <w:r w:rsidR="002E5636">
        <w:rPr>
          <w:rFonts w:eastAsiaTheme="minorEastAsia"/>
        </w:rPr>
        <w:t>.</w:t>
      </w:r>
    </w:p>
    <w:p w14:paraId="00070AF8" w14:textId="6AD15BD9" w:rsidR="00171137" w:rsidRPr="00515B83" w:rsidRDefault="008D2CF6" w:rsidP="0034066F">
      <w:pPr>
        <w:widowControl w:val="0"/>
        <w:spacing w:line="480" w:lineRule="auto"/>
        <w:jc w:val="both"/>
      </w:pPr>
      <w:r>
        <w:rPr>
          <w:rFonts w:eastAsiaTheme="minorEastAsia"/>
        </w:rPr>
        <w:tab/>
        <w:t>A</w:t>
      </w:r>
      <w:r w:rsidR="00306C35">
        <w:rPr>
          <w:rFonts w:eastAsiaTheme="minorEastAsia"/>
        </w:rPr>
        <w:t>n</w:t>
      </w:r>
      <w:r>
        <w:rPr>
          <w:rFonts w:eastAsiaTheme="minorEastAsia"/>
        </w:rPr>
        <w:t xml:space="preserve"> alternative to open and close prices is to consider high and low prices.</w:t>
      </w:r>
      <w:r>
        <w:t xml:space="preserve"> Parkinson (1980) proposes the scaled high-low price range to measure the variability of stock return</w:t>
      </w:r>
      <w:r w:rsidR="00306C35">
        <w:t>s and</w:t>
      </w:r>
      <w:r w:rsidR="00515B83">
        <w:t xml:space="preserve"> is given by:</w:t>
      </w:r>
    </w:p>
    <w:p w14:paraId="0F3669E4" w14:textId="77777777" w:rsidR="00171137" w:rsidRPr="00171137" w:rsidRDefault="008C2A9A" w:rsidP="0034066F">
      <w:pPr>
        <w:widowControl w:val="0"/>
        <w:spacing w:line="480" w:lineRule="auto"/>
      </w:pPr>
      <w:r>
        <w:rPr>
          <w:rFonts w:eastAsiaTheme="minorEastAsia"/>
        </w:rPr>
        <w:t xml:space="preserve">     </w:t>
      </w:r>
      <w:r w:rsidR="00746696">
        <w:rPr>
          <w:rFonts w:eastAsiaTheme="minorEastAsia"/>
        </w:rPr>
        <w:t xml:space="preserve">     </w:t>
      </w:r>
      <w:r>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PK,t</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4ln2</m:t>
            </m:r>
          </m:den>
        </m:f>
        <m:sSup>
          <m:sSupPr>
            <m:ctrlPr>
              <w:rPr>
                <w:rFonts w:ascii="Cambria Math" w:hAnsi="Cambria Math"/>
                <w:i/>
              </w:rPr>
            </m:ctrlPr>
          </m:sSupPr>
          <m:e>
            <m:d>
              <m:dPr>
                <m:ctrlPr>
                  <w:rPr>
                    <w:rFonts w:ascii="Cambria Math" w:hAnsi="Cambria Math"/>
                    <w:i/>
                  </w:rPr>
                </m:ctrlPr>
              </m:dPr>
              <m:e>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t</m:t>
                        </m:r>
                      </m:sub>
                    </m:sSub>
                  </m:num>
                  <m:den>
                    <m:sSub>
                      <m:sSubPr>
                        <m:ctrlPr>
                          <w:rPr>
                            <w:rFonts w:ascii="Cambria Math" w:hAnsi="Cambria Math"/>
                            <w:i/>
                          </w:rPr>
                        </m:ctrlPr>
                      </m:sSubPr>
                      <m:e>
                        <m:r>
                          <w:rPr>
                            <w:rFonts w:ascii="Cambria Math" w:hAnsi="Cambria Math"/>
                          </w:rPr>
                          <m:t>L</m:t>
                        </m:r>
                      </m:e>
                      <m:sub>
                        <m:r>
                          <w:rPr>
                            <w:rFonts w:ascii="Cambria Math" w:hAnsi="Cambria Math"/>
                          </w:rPr>
                          <m:t>t</m:t>
                        </m:r>
                      </m:sub>
                    </m:sSub>
                  </m:den>
                </m:f>
              </m:e>
            </m:d>
          </m:e>
          <m:sup>
            <m:r>
              <w:rPr>
                <w:rFonts w:ascii="Cambria Math" w:hAnsi="Cambria Math"/>
              </w:rPr>
              <m:t>2</m:t>
            </m:r>
          </m:sup>
        </m:sSup>
      </m:oMath>
      <w:r w:rsidR="00171137">
        <w:rPr>
          <w:rFonts w:eastAsiaTheme="minorEastAsia"/>
        </w:rPr>
        <w:t xml:space="preserve">                                                                                     </w:t>
      </w:r>
      <w:r>
        <w:rPr>
          <w:rFonts w:eastAsiaTheme="minorEastAsia"/>
        </w:rPr>
        <w:t xml:space="preserve"> </w:t>
      </w:r>
      <w:r w:rsidR="00171137">
        <w:rPr>
          <w:rFonts w:eastAsiaTheme="minorEastAsia"/>
        </w:rPr>
        <w:t xml:space="preserve">                        (</w:t>
      </w:r>
      <w:r w:rsidR="00D703FD">
        <w:rPr>
          <w:rFonts w:eastAsiaTheme="minorEastAsia"/>
        </w:rPr>
        <w:t>7</w:t>
      </w:r>
      <w:r w:rsidR="00171137">
        <w:rPr>
          <w:rFonts w:eastAsiaTheme="minorEastAsia"/>
        </w:rPr>
        <w:t xml:space="preserve">)      </w:t>
      </w:r>
    </w:p>
    <w:p w14:paraId="64E61248" w14:textId="1F6CD4D2" w:rsidR="0080354E" w:rsidRDefault="00306C35" w:rsidP="0034066F">
      <w:pPr>
        <w:widowControl w:val="0"/>
        <w:spacing w:line="480" w:lineRule="auto"/>
        <w:jc w:val="both"/>
      </w:pPr>
      <w:r>
        <w:t>R</w:t>
      </w:r>
      <w:r w:rsidR="002E5636">
        <w:t>ange estimators assume that the stock prices follow a geometric Brownian motion with two parameters</w:t>
      </w:r>
      <w:r w:rsidR="00515B83">
        <w:t xml:space="preserve">, </w:t>
      </w:r>
      <w:r w:rsidR="002E5636">
        <w:t>drift</w:t>
      </w:r>
      <w:r w:rsidR="002E5636">
        <w:rPr>
          <w:rStyle w:val="FootnoteReference"/>
        </w:rPr>
        <w:footnoteReference w:id="4"/>
      </w:r>
      <w:r w:rsidR="002E5636">
        <w:t xml:space="preserve"> and volatility. However, </w:t>
      </w:r>
      <w:r w:rsidR="00515B83">
        <w:t xml:space="preserve">the </w:t>
      </w:r>
      <w:r w:rsidR="002E5636">
        <w:t xml:space="preserve">Parkinson estimator </w:t>
      </w:r>
      <w:r w:rsidR="0020155E">
        <w:t>assumes</w:t>
      </w:r>
      <w:r w:rsidR="002E5636">
        <w:t xml:space="preserve"> </w:t>
      </w:r>
      <w:r w:rsidR="0020155E">
        <w:t>zero-</w:t>
      </w:r>
      <w:r w:rsidR="002E5636">
        <w:t>drift price process</w:t>
      </w:r>
      <w:r w:rsidR="0020155E">
        <w:t>.</w:t>
      </w:r>
      <w:r w:rsidR="002E5636">
        <w:t xml:space="preserve"> Garman-</w:t>
      </w:r>
      <w:proofErr w:type="spellStart"/>
      <w:r w:rsidR="002E5636">
        <w:t>Klass</w:t>
      </w:r>
      <w:proofErr w:type="spellEnd"/>
      <w:r w:rsidR="002E5636">
        <w:t xml:space="preserve"> (</w:t>
      </w:r>
      <w:r w:rsidR="00515B83">
        <w:t xml:space="preserve">GK; </w:t>
      </w:r>
      <w:r w:rsidR="002E5636">
        <w:t>1980)</w:t>
      </w:r>
      <w:r w:rsidR="00515B83">
        <w:t xml:space="preserve">, </w:t>
      </w:r>
      <w:r w:rsidR="002E5636">
        <w:t xml:space="preserve">in </w:t>
      </w:r>
      <w:r w:rsidR="00515B83">
        <w:t>e</w:t>
      </w:r>
      <w:r w:rsidR="002E5636">
        <w:t>quation (</w:t>
      </w:r>
      <w:r w:rsidR="00D703FD">
        <w:t>8</w:t>
      </w:r>
      <w:r w:rsidR="002E5636">
        <w:t>)</w:t>
      </w:r>
      <w:r w:rsidR="00515B83">
        <w:t>,</w:t>
      </w:r>
      <w:r w:rsidR="002E5636">
        <w:t xml:space="preserve"> suggest a new estimator that incorporates the drift process</w:t>
      </w:r>
      <w:r w:rsidR="00515B83">
        <w:t>, as such:</w:t>
      </w:r>
      <w:r w:rsidR="002E5636">
        <w:t xml:space="preserve">  </w:t>
      </w:r>
    </w:p>
    <w:p w14:paraId="793986AA" w14:textId="77777777" w:rsidR="00171137" w:rsidRDefault="00746696" w:rsidP="0034066F">
      <w:pPr>
        <w:widowControl w:val="0"/>
        <w:spacing w:line="480" w:lineRule="auto"/>
      </w:pPr>
      <w:r>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GK,t</m:t>
            </m:r>
          </m:sub>
        </m:sSub>
        <m:r>
          <w:rPr>
            <w:rFonts w:ascii="Cambria Math" w:hAnsi="Cambria Math"/>
          </w:rPr>
          <m:t>=0.5(ln</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t</m:t>
                </m:r>
              </m:sub>
            </m:sSub>
          </m:num>
          <m:den>
            <m:sSub>
              <m:sSubPr>
                <m:ctrlPr>
                  <w:rPr>
                    <w:rFonts w:ascii="Cambria Math" w:hAnsi="Cambria Math"/>
                    <w:i/>
                  </w:rPr>
                </m:ctrlPr>
              </m:sSubPr>
              <m:e>
                <m:r>
                  <w:rPr>
                    <w:rFonts w:ascii="Cambria Math" w:hAnsi="Cambria Math"/>
                  </w:rPr>
                  <m:t>L</m:t>
                </m:r>
              </m:e>
              <m:sub>
                <m:r>
                  <w:rPr>
                    <w:rFonts w:ascii="Cambria Math" w:hAnsi="Cambria Math"/>
                  </w:rPr>
                  <m:t>t</m:t>
                </m:r>
              </m:sub>
            </m:sSub>
          </m:den>
        </m:f>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-(2</m:t>
        </m:r>
        <m:r>
          <m:rPr>
            <m:sty m:val="p"/>
          </m:rPr>
          <w:rPr>
            <w:rFonts w:ascii="Cambria Math" w:hAnsi="Cambria Math"/>
          </w:rPr>
          <m:t>ln2-1)</m:t>
        </m:r>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sSub>
              <m:sSubPr>
                <m:ctrlPr>
                  <w:rPr>
                    <w:rFonts w:ascii="Cambria Math" w:hAnsi="Cambria Math"/>
                    <w:i/>
                  </w:rPr>
                </m:ctrlPr>
              </m:sSubPr>
              <m:e>
                <m:r>
                  <w:rPr>
                    <w:rFonts w:ascii="Cambria Math" w:hAnsi="Cambria Math"/>
                  </w:rPr>
                  <m:t>O</m:t>
                </m:r>
              </m:e>
              <m:sub>
                <m:r>
                  <w:rPr>
                    <w:rFonts w:ascii="Cambria Math" w:hAnsi="Cambria Math"/>
                  </w:rPr>
                  <m:t>t</m:t>
                </m:r>
              </m:sub>
            </m:sSub>
          </m:den>
        </m:f>
        <m:sSup>
          <m:sSupPr>
            <m:ctrlPr>
              <w:rPr>
                <w:rFonts w:ascii="Cambria Math" w:hAnsi="Cambria Math"/>
                <w:i/>
              </w:rPr>
            </m:ctrlPr>
          </m:sSupPr>
          <m:e>
            <m:r>
              <w:rPr>
                <w:rFonts w:ascii="Cambria Math" w:hAnsi="Cambria Math"/>
              </w:rPr>
              <m:t>)</m:t>
            </m:r>
          </m:e>
          <m:sup>
            <m:r>
              <w:rPr>
                <w:rFonts w:ascii="Cambria Math" w:hAnsi="Cambria Math"/>
              </w:rPr>
              <m:t>2</m:t>
            </m:r>
          </m:sup>
        </m:sSup>
      </m:oMath>
      <w:r w:rsidR="00171137">
        <w:rPr>
          <w:rFonts w:eastAsiaTheme="minorEastAsia"/>
        </w:rPr>
        <w:t xml:space="preserve">                                                                        (</w:t>
      </w:r>
      <w:r w:rsidR="00D703FD">
        <w:rPr>
          <w:rFonts w:eastAsiaTheme="minorEastAsia"/>
        </w:rPr>
        <w:t>8</w:t>
      </w:r>
      <w:r w:rsidR="00171137">
        <w:rPr>
          <w:rFonts w:eastAsiaTheme="minorEastAsia"/>
        </w:rPr>
        <w:t>)</w:t>
      </w:r>
    </w:p>
    <w:p w14:paraId="5B20E1E2" w14:textId="07CB036B" w:rsidR="00515B83" w:rsidRDefault="00515B83" w:rsidP="0034066F">
      <w:pPr>
        <w:widowControl w:val="0"/>
        <w:spacing w:line="480" w:lineRule="auto"/>
        <w:jc w:val="both"/>
      </w:pPr>
      <w:r>
        <w:t>In essence, the</w:t>
      </w:r>
      <w:r w:rsidR="0020155E">
        <w:t xml:space="preserve"> GK estimator is a weighted average of the Parkinson volatility estimator and the drift (open-to-close squared return)</w:t>
      </w:r>
      <w:r>
        <w:t xml:space="preserve">, although </w:t>
      </w:r>
      <w:r w:rsidR="0020155E">
        <w:t>they assume</w:t>
      </w:r>
      <w:r>
        <w:t xml:space="preserve"> as</w:t>
      </w:r>
      <w:r w:rsidR="0020155E">
        <w:t xml:space="preserve"> with Parkinson</w:t>
      </w:r>
      <w:r>
        <w:t>,</w:t>
      </w:r>
      <w:r w:rsidR="0020155E">
        <w:t xml:space="preserve"> that the </w:t>
      </w:r>
      <w:r w:rsidR="0020155E">
        <w:lastRenderedPageBreak/>
        <w:t xml:space="preserve">price is a zero-drift process. </w:t>
      </w:r>
    </w:p>
    <w:p w14:paraId="4D6AE36D" w14:textId="6CF7FE43" w:rsidR="004658B1" w:rsidRDefault="00515B83" w:rsidP="0034066F">
      <w:pPr>
        <w:widowControl w:val="0"/>
        <w:spacing w:line="480" w:lineRule="auto"/>
        <w:ind w:firstLine="720"/>
        <w:jc w:val="both"/>
      </w:pPr>
      <w:r>
        <w:t>Building upon this</w:t>
      </w:r>
      <w:r w:rsidR="0020155E">
        <w:t xml:space="preserve">, </w:t>
      </w:r>
      <w:proofErr w:type="gramStart"/>
      <w:r w:rsidR="0020155E">
        <w:t>Rogers</w:t>
      </w:r>
      <w:proofErr w:type="gramEnd"/>
      <w:r w:rsidR="0020155E">
        <w:t xml:space="preserve"> and Satchell (</w:t>
      </w:r>
      <w:r>
        <w:t xml:space="preserve">RS; </w:t>
      </w:r>
      <w:r w:rsidR="0020155E">
        <w:t>1991) propose another measure of volatility, which is given by equation (</w:t>
      </w:r>
      <w:r w:rsidR="00D703FD">
        <w:t>9</w:t>
      </w:r>
      <w:r w:rsidR="0020155E">
        <w:t xml:space="preserve">): </w:t>
      </w:r>
    </w:p>
    <w:p w14:paraId="58A80EB2" w14:textId="77777777" w:rsidR="00171137" w:rsidRDefault="00746696" w:rsidP="0034066F">
      <w:pPr>
        <w:widowControl w:val="0"/>
        <w:spacing w:line="480" w:lineRule="auto"/>
      </w:pPr>
      <m:oMath>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RS,t</m:t>
            </m:r>
          </m:sub>
        </m:sSub>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t</m:t>
                </m:r>
              </m:sub>
            </m:sSub>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t</m:t>
                </m:r>
              </m:sub>
            </m:sSub>
          </m:num>
          <m:den>
            <m:sSub>
              <m:sSubPr>
                <m:ctrlPr>
                  <w:rPr>
                    <w:rFonts w:ascii="Cambria Math" w:hAnsi="Cambria Math"/>
                    <w:i/>
                  </w:rPr>
                </m:ctrlPr>
              </m:sSubPr>
              <m:e>
                <m:r>
                  <w:rPr>
                    <w:rFonts w:ascii="Cambria Math" w:hAnsi="Cambria Math"/>
                  </w:rPr>
                  <m:t>O</m:t>
                </m:r>
              </m:e>
              <m:sub>
                <m:r>
                  <w:rPr>
                    <w:rFonts w:ascii="Cambria Math" w:hAnsi="Cambria Math"/>
                  </w:rPr>
                  <m:t>t</m:t>
                </m:r>
              </m:sub>
            </m:sSub>
          </m:den>
        </m:f>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t</m:t>
                </m:r>
              </m:sub>
            </m:sSub>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t</m:t>
                </m:r>
              </m:sub>
            </m:sSub>
          </m:num>
          <m:den>
            <m:sSub>
              <m:sSubPr>
                <m:ctrlPr>
                  <w:rPr>
                    <w:rFonts w:ascii="Cambria Math" w:hAnsi="Cambria Math"/>
                    <w:i/>
                  </w:rPr>
                </m:ctrlPr>
              </m:sSubPr>
              <m:e>
                <m:r>
                  <w:rPr>
                    <w:rFonts w:ascii="Cambria Math" w:hAnsi="Cambria Math"/>
                  </w:rPr>
                  <m:t>O</m:t>
                </m:r>
              </m:e>
              <m:sub>
                <m:r>
                  <w:rPr>
                    <w:rFonts w:ascii="Cambria Math" w:hAnsi="Cambria Math"/>
                  </w:rPr>
                  <m:t>t</m:t>
                </m:r>
              </m:sub>
            </m:sSub>
          </m:den>
        </m:f>
        <m:r>
          <w:rPr>
            <w:rFonts w:ascii="Cambria Math" w:hAnsi="Cambria Math"/>
          </w:rPr>
          <m:t>)</m:t>
        </m:r>
      </m:oMath>
      <w:r w:rsidR="00171137">
        <w:rPr>
          <w:rFonts w:eastAsiaTheme="minorEastAsia"/>
        </w:rPr>
        <w:t xml:space="preserve">                                                                               (</w:t>
      </w:r>
      <w:r w:rsidR="00D703FD">
        <w:rPr>
          <w:rFonts w:eastAsiaTheme="minorEastAsia"/>
        </w:rPr>
        <w:t>9</w:t>
      </w:r>
      <w:r w:rsidR="00171137">
        <w:rPr>
          <w:rFonts w:eastAsiaTheme="minorEastAsia"/>
        </w:rPr>
        <w:t xml:space="preserve">)                                                                            </w:t>
      </w:r>
    </w:p>
    <w:p w14:paraId="781BA1D9" w14:textId="7176598A" w:rsidR="00171137" w:rsidRDefault="0020155E" w:rsidP="0034066F">
      <w:pPr>
        <w:widowControl w:val="0"/>
        <w:spacing w:line="480" w:lineRule="auto"/>
        <w:jc w:val="both"/>
      </w:pPr>
      <w:r>
        <w:t>Rogers and Satchell (1991) address the issue of drift more formally with their estimator which is independent of drift process</w:t>
      </w:r>
      <w:r w:rsidR="006D080C">
        <w:t xml:space="preserve"> and thus, </w:t>
      </w:r>
      <w:r>
        <w:t xml:space="preserve">does not require the assumption of zero-drift. </w:t>
      </w:r>
    </w:p>
    <w:p w14:paraId="3712477F" w14:textId="52914E93" w:rsidR="00ED424F" w:rsidRDefault="00ED424F" w:rsidP="0034066F">
      <w:pPr>
        <w:widowControl w:val="0"/>
        <w:spacing w:line="480" w:lineRule="auto"/>
        <w:ind w:firstLine="720"/>
        <w:jc w:val="both"/>
      </w:pPr>
      <w:r>
        <w:t xml:space="preserve">Yang and Zhang (YZ; 2000) develop a new volatility estimator, given in equation (10), to further enhance the efficiency gain over previous volatility estimators. They argue their estimator is the minimum-variance unbiased estimator and independent of the drift and opening jumps of the underlying price movements. </w:t>
      </w:r>
    </w:p>
    <w:p w14:paraId="0FA47C6E" w14:textId="77777777" w:rsidR="00171137" w:rsidRDefault="00746696" w:rsidP="0034066F">
      <w:pPr>
        <w:widowControl w:val="0"/>
        <w:spacing w:line="480" w:lineRule="auto"/>
      </w:pPr>
      <w:r>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YZ,t</m:t>
            </m:r>
          </m:sub>
        </m:sSub>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O</m:t>
                </m:r>
              </m:e>
              <m:sub>
                <m:r>
                  <w:rPr>
                    <w:rFonts w:ascii="Cambria Math" w:hAnsi="Cambria Math"/>
                  </w:rPr>
                  <m:t>t</m:t>
                </m:r>
              </m:sub>
            </m:sSub>
          </m:num>
          <m:den>
            <m:sSub>
              <m:sSubPr>
                <m:ctrlPr>
                  <w:rPr>
                    <w:rFonts w:ascii="Cambria Math" w:hAnsi="Cambria Math"/>
                    <w:i/>
                  </w:rPr>
                </m:ctrlPr>
              </m:sSubPr>
              <m:e>
                <m:r>
                  <w:rPr>
                    <w:rFonts w:ascii="Cambria Math" w:hAnsi="Cambria Math"/>
                  </w:rPr>
                  <m:t>C</m:t>
                </m:r>
              </m:e>
              <m:sub>
                <m:r>
                  <w:rPr>
                    <w:rFonts w:ascii="Cambria Math" w:hAnsi="Cambria Math"/>
                  </w:rPr>
                  <m:t>t-1</m:t>
                </m:r>
              </m:sub>
            </m:sSub>
          </m:den>
        </m:f>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+k(ln</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sSub>
              <m:sSubPr>
                <m:ctrlPr>
                  <w:rPr>
                    <w:rFonts w:ascii="Cambria Math" w:hAnsi="Cambria Math"/>
                    <w:i/>
                  </w:rPr>
                </m:ctrlPr>
              </m:sSubPr>
              <m:e>
                <m:r>
                  <w:rPr>
                    <w:rFonts w:ascii="Cambria Math" w:hAnsi="Cambria Math"/>
                  </w:rPr>
                  <m:t>O</m:t>
                </m:r>
              </m:e>
              <m:sub>
                <m:r>
                  <w:rPr>
                    <w:rFonts w:ascii="Cambria Math" w:hAnsi="Cambria Math"/>
                  </w:rPr>
                  <m:t>t</m:t>
                </m:r>
              </m:sub>
            </m:sSub>
          </m:den>
        </m:f>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1-k</m:t>
            </m:r>
          </m:e>
        </m:d>
        <m:sSub>
          <m:sSubPr>
            <m:ctrlPr>
              <w:rPr>
                <w:rFonts w:ascii="Cambria Math" w:hAnsi="Cambria Math"/>
                <w:i/>
              </w:rPr>
            </m:ctrlPr>
          </m:sSubPr>
          <m:e>
            <m:r>
              <w:rPr>
                <w:rFonts w:ascii="Cambria Math" w:hAnsi="Cambria Math"/>
              </w:rPr>
              <m:t>V</m:t>
            </m:r>
          </m:e>
          <m:sub>
            <m:r>
              <w:rPr>
                <w:rFonts w:ascii="Cambria Math" w:hAnsi="Cambria Math"/>
              </w:rPr>
              <m:t>RS,t</m:t>
            </m:r>
          </m:sub>
        </m:sSub>
        <m:r>
          <w:rPr>
            <w:rFonts w:ascii="Cambria Math" w:hAnsi="Cambria Math"/>
          </w:rPr>
          <m:t xml:space="preserve">                k=(</m:t>
        </m:r>
        <m:f>
          <m:fPr>
            <m:ctrlPr>
              <w:rPr>
                <w:rFonts w:ascii="Cambria Math" w:hAnsi="Cambria Math"/>
                <w:i/>
              </w:rPr>
            </m:ctrlPr>
          </m:fPr>
          <m:num>
            <m:r>
              <w:rPr>
                <w:rFonts w:ascii="Cambria Math" w:hAnsi="Cambria Math"/>
              </w:rPr>
              <m:t>0.34</m:t>
            </m:r>
          </m:num>
          <m:den>
            <m:r>
              <w:rPr>
                <w:rFonts w:ascii="Cambria Math" w:hAnsi="Cambria Math"/>
              </w:rPr>
              <m:t>1.34+</m:t>
            </m:r>
            <m:f>
              <m:fPr>
                <m:ctrlPr>
                  <w:rPr>
                    <w:rFonts w:ascii="Cambria Math" w:hAnsi="Cambria Math"/>
                    <w:i/>
                  </w:rPr>
                </m:ctrlPr>
              </m:fPr>
              <m:num>
                <m:r>
                  <w:rPr>
                    <w:rFonts w:ascii="Cambria Math" w:hAnsi="Cambria Math"/>
                  </w:rPr>
                  <m:t>n+1</m:t>
                </m:r>
              </m:num>
              <m:den>
                <m:r>
                  <w:rPr>
                    <w:rFonts w:ascii="Cambria Math" w:hAnsi="Cambria Math"/>
                  </w:rPr>
                  <m:t>n-1</m:t>
                </m:r>
              </m:den>
            </m:f>
          </m:den>
        </m:f>
        <m:r>
          <w:rPr>
            <w:rFonts w:ascii="Cambria Math" w:hAnsi="Cambria Math"/>
          </w:rPr>
          <m:t>)</m:t>
        </m:r>
      </m:oMath>
      <w:r w:rsidR="00171137">
        <w:rPr>
          <w:rFonts w:eastAsiaTheme="minorEastAsia"/>
        </w:rPr>
        <w:t xml:space="preserve">                    </w:t>
      </w:r>
      <w:r>
        <w:rPr>
          <w:rFonts w:eastAsiaTheme="minorEastAsia"/>
        </w:rPr>
        <w:t xml:space="preserve"> </w:t>
      </w:r>
      <w:r w:rsidR="00171137">
        <w:rPr>
          <w:rFonts w:eastAsiaTheme="minorEastAsia"/>
        </w:rPr>
        <w:t>(</w:t>
      </w:r>
      <w:r w:rsidR="00D703FD">
        <w:rPr>
          <w:rFonts w:eastAsiaTheme="minorEastAsia"/>
        </w:rPr>
        <w:t>10</w:t>
      </w:r>
      <w:r w:rsidR="00171137">
        <w:rPr>
          <w:rFonts w:eastAsiaTheme="minorEastAsia"/>
        </w:rPr>
        <w:t>)</w:t>
      </w:r>
    </w:p>
    <w:p w14:paraId="06461F25" w14:textId="3F4AFA21" w:rsidR="007C1821" w:rsidRDefault="00560DE8" w:rsidP="0034066F">
      <w:pPr>
        <w:widowControl w:val="0"/>
        <w:spacing w:line="480" w:lineRule="auto"/>
        <w:jc w:val="both"/>
      </w:pPr>
      <w:r>
        <w:t xml:space="preserve">Within the </w:t>
      </w:r>
      <w:r w:rsidR="00ED424F">
        <w:t xml:space="preserve">existing </w:t>
      </w:r>
      <w:r w:rsidR="00EA50D5">
        <w:t xml:space="preserve">literature </w:t>
      </w:r>
      <w:r w:rsidR="00ED424F">
        <w:t xml:space="preserve">(e.g., Molnar, 2012) </w:t>
      </w:r>
      <w:r>
        <w:t xml:space="preserve">there is some comparative work of the </w:t>
      </w:r>
      <w:r w:rsidR="00EA50D5">
        <w:t xml:space="preserve">range-based volatility estimators. </w:t>
      </w:r>
      <w:r w:rsidR="00ED424F">
        <w:t xml:space="preserve">The </w:t>
      </w:r>
      <w:r w:rsidR="00EA50D5">
        <w:t xml:space="preserve">GK estimator is found to be </w:t>
      </w:r>
      <w:r w:rsidR="00ED424F">
        <w:t xml:space="preserve">the </w:t>
      </w:r>
      <w:r w:rsidR="00EA50D5">
        <w:t xml:space="preserve">optimal OHLC estimator by Bali and Weinbaum (2005), Li and Hing (2011), Todorova and </w:t>
      </w:r>
      <w:proofErr w:type="spellStart"/>
      <w:r w:rsidR="00EA50D5">
        <w:t>Husmann</w:t>
      </w:r>
      <w:proofErr w:type="spellEnd"/>
      <w:r w:rsidR="00EA50D5">
        <w:t xml:space="preserve"> (2012), Jiang et al. (2014). Raju and </w:t>
      </w:r>
      <w:proofErr w:type="spellStart"/>
      <w:r w:rsidR="00EA50D5">
        <w:t>Rangaswamy</w:t>
      </w:r>
      <w:proofErr w:type="spellEnd"/>
      <w:r w:rsidR="00EA50D5">
        <w:t xml:space="preserve"> (2017) suggest the YZ estimator for in and out-of-sample forecastin</w:t>
      </w:r>
      <w:r w:rsidR="00D703FD">
        <w:t>g</w:t>
      </w:r>
      <w:r w:rsidR="00EA50D5">
        <w:t xml:space="preserve"> performance. </w:t>
      </w:r>
      <w:r>
        <w:t>In contrast</w:t>
      </w:r>
      <w:r w:rsidR="00ED424F">
        <w:t xml:space="preserve">, </w:t>
      </w:r>
      <w:proofErr w:type="spellStart"/>
      <w:r w:rsidR="00EA50D5">
        <w:t>Yarovaya</w:t>
      </w:r>
      <w:proofErr w:type="spellEnd"/>
      <w:r w:rsidR="00EA50D5">
        <w:t xml:space="preserve"> et al. (2016) find inconclusive results. </w:t>
      </w:r>
      <w:r>
        <w:t xml:space="preserve">This work, however, is </w:t>
      </w:r>
      <w:r w:rsidR="0034066F">
        <w:t xml:space="preserve">not </w:t>
      </w:r>
      <w:r>
        <w:t>conducted in the context of the HAR-RV-X model.</w:t>
      </w:r>
    </w:p>
    <w:p w14:paraId="2638AB12" w14:textId="77777777" w:rsidR="0034066F" w:rsidRDefault="0034066F" w:rsidP="0034066F">
      <w:pPr>
        <w:widowControl w:val="0"/>
        <w:spacing w:line="480" w:lineRule="auto"/>
      </w:pPr>
    </w:p>
    <w:p w14:paraId="7BD8A4CE" w14:textId="066D55AC" w:rsidR="00171137" w:rsidRPr="00C966CA" w:rsidRDefault="00C966CA" w:rsidP="0034066F">
      <w:pPr>
        <w:widowControl w:val="0"/>
        <w:spacing w:line="480" w:lineRule="auto"/>
        <w:rPr>
          <w:bCs/>
          <w:i/>
          <w:iCs/>
        </w:rPr>
      </w:pPr>
      <w:r w:rsidRPr="00C966CA">
        <w:rPr>
          <w:bCs/>
          <w:i/>
          <w:iCs/>
        </w:rPr>
        <w:t xml:space="preserve">2.4. </w:t>
      </w:r>
      <w:r w:rsidR="00DA270C" w:rsidRPr="00C966CA">
        <w:rPr>
          <w:bCs/>
          <w:i/>
          <w:iCs/>
        </w:rPr>
        <w:t>R</w:t>
      </w:r>
      <w:r w:rsidR="00455889">
        <w:rPr>
          <w:bCs/>
          <w:i/>
          <w:iCs/>
        </w:rPr>
        <w:t xml:space="preserve">olling </w:t>
      </w:r>
      <w:r w:rsidR="00DA270C" w:rsidRPr="00C966CA">
        <w:rPr>
          <w:bCs/>
          <w:i/>
          <w:iCs/>
        </w:rPr>
        <w:t>W</w:t>
      </w:r>
      <w:r w:rsidR="00455889">
        <w:rPr>
          <w:bCs/>
          <w:i/>
          <w:iCs/>
        </w:rPr>
        <w:t xml:space="preserve">indow </w:t>
      </w:r>
      <w:r w:rsidR="00DA270C" w:rsidRPr="00C966CA">
        <w:rPr>
          <w:bCs/>
          <w:i/>
          <w:iCs/>
        </w:rPr>
        <w:t>F</w:t>
      </w:r>
      <w:r w:rsidR="00455889">
        <w:rPr>
          <w:bCs/>
          <w:i/>
          <w:iCs/>
        </w:rPr>
        <w:t xml:space="preserve">orecasts and </w:t>
      </w:r>
      <w:r w:rsidR="00851D34" w:rsidRPr="00C966CA">
        <w:rPr>
          <w:bCs/>
          <w:i/>
          <w:iCs/>
        </w:rPr>
        <w:t>L</w:t>
      </w:r>
      <w:r w:rsidR="00455889">
        <w:rPr>
          <w:bCs/>
          <w:i/>
          <w:iCs/>
        </w:rPr>
        <w:t xml:space="preserve">oss </w:t>
      </w:r>
      <w:r w:rsidR="00851D34" w:rsidRPr="00C966CA">
        <w:rPr>
          <w:bCs/>
          <w:i/>
          <w:iCs/>
        </w:rPr>
        <w:t>F</w:t>
      </w:r>
      <w:r w:rsidR="00455889">
        <w:rPr>
          <w:bCs/>
          <w:i/>
          <w:iCs/>
        </w:rPr>
        <w:t>unctions</w:t>
      </w:r>
    </w:p>
    <w:p w14:paraId="41375B49" w14:textId="2A6496B0" w:rsidR="00DA270C" w:rsidRDefault="00C966CA" w:rsidP="0034066F">
      <w:pPr>
        <w:widowControl w:val="0"/>
        <w:spacing w:line="480" w:lineRule="auto"/>
        <w:jc w:val="both"/>
      </w:pPr>
      <w:r>
        <w:t>T</w:t>
      </w:r>
      <w:r w:rsidR="00560DE8">
        <w:t xml:space="preserve">he </w:t>
      </w:r>
      <w:r w:rsidR="00DA270C">
        <w:t xml:space="preserve">out-of-sample forecasts </w:t>
      </w:r>
      <w:r w:rsidR="00560DE8">
        <w:t xml:space="preserve">are obtained </w:t>
      </w:r>
      <w:r w:rsidR="00DA270C">
        <w:t>us</w:t>
      </w:r>
      <w:r w:rsidR="00560DE8">
        <w:t xml:space="preserve">ing a </w:t>
      </w:r>
      <w:r w:rsidR="00DA270C">
        <w:t xml:space="preserve">rolling window </w:t>
      </w:r>
      <w:r w:rsidR="00560DE8">
        <w:t>approach</w:t>
      </w:r>
      <w:r w:rsidR="00D11849">
        <w:t xml:space="preserve">. The </w:t>
      </w:r>
      <w:r w:rsidR="00DA270C">
        <w:t>advantage</w:t>
      </w:r>
      <w:r w:rsidR="00D11849">
        <w:t xml:space="preserve"> of this technique is in </w:t>
      </w:r>
      <w:r w:rsidR="00560DE8">
        <w:t xml:space="preserve">allowing </w:t>
      </w:r>
      <w:r w:rsidR="00D11849">
        <w:t xml:space="preserve">parameter values </w:t>
      </w:r>
      <w:r w:rsidR="00560DE8">
        <w:t xml:space="preserve">to change </w:t>
      </w:r>
      <w:r w:rsidR="00D11849">
        <w:t>over time</w:t>
      </w:r>
      <w:r w:rsidR="00DA270C">
        <w:t xml:space="preserve">. However, </w:t>
      </w:r>
      <w:r w:rsidR="00560DE8">
        <w:t xml:space="preserve">it should be noted that </w:t>
      </w:r>
      <w:r w:rsidR="00DA270C">
        <w:t xml:space="preserve">window size </w:t>
      </w:r>
      <w:r w:rsidR="00560DE8">
        <w:t xml:space="preserve">choice </w:t>
      </w:r>
      <w:r w:rsidR="00DA270C">
        <w:t>is arbitrary</w:t>
      </w:r>
      <w:r w:rsidR="00D11849">
        <w:t>, balanc</w:t>
      </w:r>
      <w:r w:rsidR="00560DE8">
        <w:t>ing</w:t>
      </w:r>
      <w:r w:rsidR="00D11849">
        <w:t xml:space="preserve"> between using too little data that can cause imprecise estimation and too much that le</w:t>
      </w:r>
      <w:r w:rsidR="00560DE8">
        <w:t>a</w:t>
      </w:r>
      <w:r w:rsidR="00D11849">
        <w:t xml:space="preserve">ves too few observations in the </w:t>
      </w:r>
      <w:r w:rsidR="00560DE8">
        <w:t xml:space="preserve">forecast </w:t>
      </w:r>
      <w:r w:rsidR="00D11849">
        <w:lastRenderedPageBreak/>
        <w:t>p</w:t>
      </w:r>
      <w:r w:rsidR="00560DE8">
        <w:t>e</w:t>
      </w:r>
      <w:r w:rsidR="00D11849">
        <w:t>rio</w:t>
      </w:r>
      <w:r w:rsidR="00560DE8">
        <w:t>d</w:t>
      </w:r>
      <w:r w:rsidR="00D11849">
        <w:t>.</w:t>
      </w:r>
      <w:r w:rsidR="00DA270C">
        <w:t xml:space="preserve"> </w:t>
      </w:r>
      <w:r w:rsidR="00560DE8">
        <w:t xml:space="preserve">We </w:t>
      </w:r>
      <w:r w:rsidR="00D11849">
        <w:t>use a window of</w:t>
      </w:r>
      <w:r w:rsidR="00DA270C" w:rsidRPr="0072212F">
        <w:t xml:space="preserve"> </w:t>
      </w:r>
      <w:r w:rsidR="00DA270C">
        <w:t>6</w:t>
      </w:r>
      <w:r w:rsidR="00DA270C" w:rsidRPr="0072212F">
        <w:t>00 observations</w:t>
      </w:r>
      <w:r w:rsidR="00DA270C">
        <w:t xml:space="preserve">, which </w:t>
      </w:r>
      <w:r w:rsidR="00D11849">
        <w:t>covers a period of over two years.</w:t>
      </w:r>
      <w:r w:rsidR="00DA270C">
        <w:t xml:space="preserve"> </w:t>
      </w:r>
    </w:p>
    <w:p w14:paraId="3A29907B" w14:textId="130E4B9E" w:rsidR="00664F8C" w:rsidRDefault="00D777D9" w:rsidP="0034066F">
      <w:pPr>
        <w:widowControl w:val="0"/>
        <w:spacing w:line="480" w:lineRule="auto"/>
        <w:ind w:firstLine="720"/>
        <w:jc w:val="both"/>
      </w:pPr>
      <w:r w:rsidRPr="00D777D9">
        <w:t xml:space="preserve">To evaluate the out-of-sample </w:t>
      </w:r>
      <w:r>
        <w:t>performance</w:t>
      </w:r>
      <w:r w:rsidRPr="00D777D9">
        <w:t xml:space="preserve"> of competing models, we</w:t>
      </w:r>
      <w:r>
        <w:t xml:space="preserve"> employ</w:t>
      </w:r>
      <w:r w:rsidRPr="00D777D9">
        <w:t xml:space="preserve"> t</w:t>
      </w:r>
      <w:r>
        <w:t>wo</w:t>
      </w:r>
      <w:r w:rsidRPr="00D777D9">
        <w:t xml:space="preserve"> loss functions</w:t>
      </w:r>
      <w:r w:rsidR="00455889">
        <w:t xml:space="preserve"> that are known to be robust in the context of heteroscedasticity</w:t>
      </w:r>
      <w:r w:rsidRPr="00D777D9">
        <w:t xml:space="preserve">, namely </w:t>
      </w:r>
      <w:r w:rsidR="00455889">
        <w:t xml:space="preserve">the </w:t>
      </w:r>
      <w:r w:rsidRPr="00D777D9">
        <w:t>quasi-Gaussian log-likelihood (QLIKE)</w:t>
      </w:r>
      <w:r>
        <w:t xml:space="preserve"> and </w:t>
      </w:r>
      <w:r w:rsidRPr="00D777D9">
        <w:t>heteroskedasticity adjusted mean squared error (HMSE)</w:t>
      </w:r>
      <w:r w:rsidR="00455889">
        <w:t>.</w:t>
      </w:r>
      <w:r w:rsidR="00A57D75">
        <w:rPr>
          <w:rStyle w:val="FootnoteReference"/>
        </w:rPr>
        <w:footnoteReference w:id="5"/>
      </w:r>
      <w:r w:rsidR="00455889">
        <w:t xml:space="preserve"> </w:t>
      </w:r>
    </w:p>
    <w:p w14:paraId="03B5E174" w14:textId="452F1446" w:rsidR="00D777D9" w:rsidRPr="00D777D9" w:rsidRDefault="00664F8C" w:rsidP="0034066F">
      <w:pPr>
        <w:widowControl w:val="0"/>
        <w:spacing w:line="480" w:lineRule="auto"/>
        <w:ind w:firstLine="720"/>
        <w:jc w:val="both"/>
      </w:pPr>
      <w:r>
        <w:t xml:space="preserve"> </w:t>
      </w:r>
      <w:r w:rsidR="00455889">
        <w:t>These two measures are given by e</w:t>
      </w:r>
      <w:r w:rsidR="00D777D9">
        <w:t xml:space="preserve">quations </w:t>
      </w:r>
      <w:r w:rsidR="00455889">
        <w:t>(</w:t>
      </w:r>
      <w:r w:rsidR="00D777D9">
        <w:t>11</w:t>
      </w:r>
      <w:r w:rsidR="00455889">
        <w:t>)</w:t>
      </w:r>
      <w:r w:rsidR="00D777D9">
        <w:t xml:space="preserve"> and </w:t>
      </w:r>
      <w:r w:rsidR="00455889">
        <w:t>(</w:t>
      </w:r>
      <w:r w:rsidR="00D777D9">
        <w:t>12</w:t>
      </w:r>
      <w:r w:rsidR="00455889">
        <w:t>):</w:t>
      </w:r>
    </w:p>
    <w:p w14:paraId="7E6DCE4C" w14:textId="77777777" w:rsidR="00851D34" w:rsidRDefault="00746696" w:rsidP="0034066F">
      <w:pPr>
        <w:widowControl w:val="0"/>
        <w:spacing w:line="480" w:lineRule="auto"/>
      </w:pPr>
      <w:r>
        <w:rPr>
          <w:rFonts w:eastAsiaTheme="minorEastAsia"/>
        </w:rPr>
        <w:t xml:space="preserve">               </w:t>
      </w:r>
      <m:oMath>
        <m:r>
          <w:rPr>
            <w:rFonts w:ascii="Cambria Math" w:hAnsi="Cambria Math"/>
          </w:rPr>
          <m:t>QLIKE=</m:t>
        </m:r>
        <m:f>
          <m:fPr>
            <m:ctrlPr>
              <w:rPr>
                <w:rFonts w:ascii="Cambria Math" w:hAnsi="Cambria Math"/>
                <w:i/>
              </w:rPr>
            </m:ctrlPr>
          </m:fPr>
          <m:num>
            <m:r>
              <w:rPr>
                <w:rFonts w:ascii="Cambria Math" w:hAnsi="Cambria Math"/>
              </w:rPr>
              <m:t>1</m:t>
            </m:r>
          </m:num>
          <m:den>
            <m:r>
              <w:rPr>
                <w:rFonts w:ascii="Cambria Math" w:hAnsi="Cambria Math"/>
              </w:rPr>
              <m:t>τ</m:t>
            </m:r>
          </m:den>
        </m:f>
        <m:nary>
          <m:naryPr>
            <m:chr m:val="∑"/>
            <m:limLoc m:val="undOvr"/>
            <m:ctrlPr>
              <w:rPr>
                <w:rFonts w:ascii="Cambria Math" w:hAnsi="Cambria Math"/>
                <w:i/>
              </w:rPr>
            </m:ctrlPr>
          </m:naryPr>
          <m:sub>
            <m:r>
              <w:rPr>
                <w:rFonts w:ascii="Cambria Math" w:hAnsi="Cambria Math"/>
              </w:rPr>
              <m:t>t=T+1</m:t>
            </m:r>
          </m:sub>
          <m:sup>
            <m:r>
              <w:rPr>
                <w:rFonts w:ascii="Cambria Math" w:hAnsi="Cambria Math"/>
              </w:rPr>
              <m:t>T+τ</m:t>
            </m:r>
          </m:sup>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RV</m:t>
                    </m:r>
                  </m:e>
                  <m:sub>
                    <m:r>
                      <w:rPr>
                        <w:rFonts w:ascii="Cambria Math" w:hAnsi="Cambria Math"/>
                      </w:rPr>
                      <m:t>t</m:t>
                    </m:r>
                  </m:sub>
                </m:sSub>
              </m:num>
              <m:den>
                <m:acc>
                  <m:accPr>
                    <m:ctrlPr>
                      <w:rPr>
                        <w:rFonts w:ascii="Cambria Math" w:hAnsi="Cambria Math"/>
                        <w:i/>
                      </w:rPr>
                    </m:ctrlPr>
                  </m:accPr>
                  <m:e>
                    <m:sSub>
                      <m:sSubPr>
                        <m:ctrlPr>
                          <w:rPr>
                            <w:rFonts w:ascii="Cambria Math" w:hAnsi="Cambria Math"/>
                            <w:i/>
                          </w:rPr>
                        </m:ctrlPr>
                      </m:sSubPr>
                      <m:e>
                        <m:r>
                          <w:rPr>
                            <w:rFonts w:ascii="Cambria Math" w:hAnsi="Cambria Math"/>
                          </w:rPr>
                          <m:t>RV</m:t>
                        </m:r>
                      </m:e>
                      <m:sub>
                        <m:r>
                          <w:rPr>
                            <w:rFonts w:ascii="Cambria Math" w:hAnsi="Cambria Math"/>
                          </w:rPr>
                          <m:t>t</m:t>
                        </m:r>
                      </m:sub>
                    </m:sSub>
                  </m:e>
                </m:acc>
                <m:r>
                  <w:rPr>
                    <w:rFonts w:ascii="Cambria Math" w:hAnsi="Cambria Math"/>
                  </w:rPr>
                  <m:t xml:space="preserve"> </m:t>
                </m:r>
              </m:den>
            </m:f>
          </m:e>
        </m:nary>
        <m:r>
          <w:rPr>
            <w:rFonts w:ascii="Cambria Math" w:hAnsi="Cambria Math"/>
          </w:rPr>
          <m:t>-</m:t>
        </m:r>
        <m:r>
          <m:rPr>
            <m:sty m:val="p"/>
          </m:rPr>
          <w:rPr>
            <w:rFonts w:ascii="Cambria Math" w:hAnsi="Cambria Math"/>
          </w:rPr>
          <m:t>log⁡</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RV</m:t>
                </m:r>
              </m:e>
              <m:sub>
                <m:r>
                  <w:rPr>
                    <w:rFonts w:ascii="Cambria Math" w:hAnsi="Cambria Math"/>
                  </w:rPr>
                  <m:t>t</m:t>
                </m:r>
              </m:sub>
            </m:sSub>
          </m:num>
          <m:den>
            <m:acc>
              <m:accPr>
                <m:ctrlPr>
                  <w:rPr>
                    <w:rFonts w:ascii="Cambria Math" w:hAnsi="Cambria Math"/>
                    <w:i/>
                  </w:rPr>
                </m:ctrlPr>
              </m:accPr>
              <m:e>
                <m:sSub>
                  <m:sSubPr>
                    <m:ctrlPr>
                      <w:rPr>
                        <w:rFonts w:ascii="Cambria Math" w:hAnsi="Cambria Math"/>
                        <w:i/>
                      </w:rPr>
                    </m:ctrlPr>
                  </m:sSubPr>
                  <m:e>
                    <m:r>
                      <w:rPr>
                        <w:rFonts w:ascii="Cambria Math" w:hAnsi="Cambria Math"/>
                      </w:rPr>
                      <m:t>RV</m:t>
                    </m:r>
                  </m:e>
                  <m:sub>
                    <m:r>
                      <w:rPr>
                        <w:rFonts w:ascii="Cambria Math" w:hAnsi="Cambria Math"/>
                      </w:rPr>
                      <m:t>t</m:t>
                    </m:r>
                  </m:sub>
                </m:sSub>
              </m:e>
            </m:acc>
          </m:den>
        </m:f>
        <m:r>
          <w:rPr>
            <w:rFonts w:ascii="Cambria Math" w:hAnsi="Cambria Math"/>
          </w:rPr>
          <m:t xml:space="preserve">)-1] </m:t>
        </m:r>
      </m:oMath>
      <w:r w:rsidR="00851D34" w:rsidRPr="00851D34">
        <w:t xml:space="preserve">                                            </w:t>
      </w:r>
      <w:r w:rsidR="00851D34">
        <w:t xml:space="preserve">                           </w:t>
      </w:r>
      <w:r w:rsidR="00851D34" w:rsidRPr="00851D34">
        <w:t>(</w:t>
      </w:r>
      <w:r w:rsidR="00D703FD">
        <w:t>11</w:t>
      </w:r>
      <w:r w:rsidR="00851D34" w:rsidRPr="00851D34">
        <w:t>)</w:t>
      </w:r>
    </w:p>
    <w:p w14:paraId="179C829B" w14:textId="77777777" w:rsidR="00851D34" w:rsidRPr="00851D34" w:rsidRDefault="00746696" w:rsidP="0034066F">
      <w:pPr>
        <w:widowControl w:val="0"/>
        <w:spacing w:line="480" w:lineRule="auto"/>
      </w:pPr>
      <m:oMath>
        <m:r>
          <w:rPr>
            <w:rFonts w:ascii="Cambria Math" w:hAnsi="Cambria Math"/>
          </w:rPr>
          <m:t xml:space="preserve">                HMSE=</m:t>
        </m:r>
        <m:f>
          <m:fPr>
            <m:ctrlPr>
              <w:rPr>
                <w:rFonts w:ascii="Cambria Math" w:hAnsi="Cambria Math"/>
                <w:i/>
              </w:rPr>
            </m:ctrlPr>
          </m:fPr>
          <m:num>
            <m:r>
              <w:rPr>
                <w:rFonts w:ascii="Cambria Math" w:hAnsi="Cambria Math"/>
              </w:rPr>
              <m:t>1</m:t>
            </m:r>
          </m:num>
          <m:den>
            <m:r>
              <w:rPr>
                <w:rFonts w:ascii="Cambria Math" w:hAnsi="Cambria Math"/>
              </w:rPr>
              <m:t>τ</m:t>
            </m:r>
          </m:den>
        </m:f>
        <m:nary>
          <m:naryPr>
            <m:chr m:val="∑"/>
            <m:limLoc m:val="undOvr"/>
            <m:ctrlPr>
              <w:rPr>
                <w:rFonts w:ascii="Cambria Math" w:hAnsi="Cambria Math"/>
                <w:i/>
              </w:rPr>
            </m:ctrlPr>
          </m:naryPr>
          <m:sub>
            <m:r>
              <w:rPr>
                <w:rFonts w:ascii="Cambria Math" w:hAnsi="Cambria Math"/>
              </w:rPr>
              <m:t>t=T+1</m:t>
            </m:r>
          </m:sub>
          <m:sup>
            <m:r>
              <w:rPr>
                <w:rFonts w:ascii="Cambria Math" w:hAnsi="Cambria Math"/>
              </w:rPr>
              <m:t>T+τ</m:t>
            </m:r>
          </m:sup>
          <m:e>
            <m:r>
              <w:rPr>
                <w:rFonts w:ascii="Cambria Math" w:hAnsi="Cambria Math"/>
              </w:rPr>
              <m:t>[1-</m:t>
            </m:r>
            <m:f>
              <m:fPr>
                <m:ctrlPr>
                  <w:rPr>
                    <w:rFonts w:ascii="Cambria Math" w:hAnsi="Cambria Math"/>
                    <w:i/>
                  </w:rPr>
                </m:ctrlPr>
              </m:fPr>
              <m:num>
                <m:acc>
                  <m:accPr>
                    <m:ctrlPr>
                      <w:rPr>
                        <w:rFonts w:ascii="Cambria Math" w:hAnsi="Cambria Math"/>
                        <w:i/>
                      </w:rPr>
                    </m:ctrlPr>
                  </m:accPr>
                  <m:e>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2</m:t>
                        </m:r>
                      </m:sup>
                    </m:sSubSup>
                  </m:e>
                </m:acc>
              </m:num>
              <m:den>
                <m:sSubSup>
                  <m:sSubSupPr>
                    <m:ctrlPr>
                      <w:rPr>
                        <w:rFonts w:ascii="Cambria Math" w:hAnsi="Cambria Math"/>
                        <w:i/>
                      </w:rPr>
                    </m:ctrlPr>
                  </m:sSubSupPr>
                  <m:e>
                    <m:r>
                      <w:rPr>
                        <w:rFonts w:ascii="Cambria Math" w:hAnsi="Cambria Math"/>
                      </w:rPr>
                      <m:t>RV</m:t>
                    </m:r>
                  </m:e>
                  <m:sub>
                    <m:r>
                      <w:rPr>
                        <w:rFonts w:ascii="Cambria Math" w:hAnsi="Cambria Math"/>
                      </w:rPr>
                      <m:t>t</m:t>
                    </m:r>
                  </m:sub>
                  <m:sup>
                    <m:r>
                      <w:rPr>
                        <w:rFonts w:ascii="Cambria Math" w:hAnsi="Cambria Math"/>
                      </w:rPr>
                      <m:t>2</m:t>
                    </m:r>
                  </m:sup>
                </m:sSubSup>
              </m:den>
            </m:f>
          </m:e>
        </m:nary>
        <m:sSup>
          <m:sSupPr>
            <m:ctrlPr>
              <w:rPr>
                <w:rFonts w:ascii="Cambria Math" w:hAnsi="Cambria Math"/>
                <w:i/>
              </w:rPr>
            </m:ctrlPr>
          </m:sSupPr>
          <m:e>
            <m:r>
              <w:rPr>
                <w:rFonts w:ascii="Cambria Math" w:hAnsi="Cambria Math"/>
              </w:rPr>
              <m:t>]</m:t>
            </m:r>
          </m:e>
          <m:sup>
            <m:r>
              <w:rPr>
                <w:rFonts w:ascii="Cambria Math" w:hAnsi="Cambria Math"/>
              </w:rPr>
              <m:t>2</m:t>
            </m:r>
          </m:sup>
        </m:sSup>
      </m:oMath>
      <w:r w:rsidR="00851D34" w:rsidRPr="00851D34">
        <w:t xml:space="preserve">                                                           </w:t>
      </w:r>
      <w:r w:rsidR="00851D34">
        <w:t xml:space="preserve">  </w:t>
      </w:r>
      <w:r w:rsidR="00851D34" w:rsidRPr="00851D34">
        <w:t xml:space="preserve">   </w:t>
      </w:r>
      <w:r w:rsidR="00851D34">
        <w:t xml:space="preserve">                          </w:t>
      </w:r>
      <w:r>
        <w:t xml:space="preserve"> </w:t>
      </w:r>
      <w:r w:rsidR="00851D34" w:rsidRPr="00851D34">
        <w:t>(</w:t>
      </w:r>
      <w:r w:rsidR="00D703FD">
        <w:t>12</w:t>
      </w:r>
      <w:r w:rsidR="00851D34" w:rsidRPr="00851D34">
        <w:t>)</w:t>
      </w:r>
    </w:p>
    <w:p w14:paraId="644FCD01" w14:textId="7386A9F7" w:rsidR="00D777D9" w:rsidRPr="00D777D9" w:rsidRDefault="00D777D9" w:rsidP="0034066F">
      <w:pPr>
        <w:widowControl w:val="0"/>
        <w:spacing w:line="480" w:lineRule="auto"/>
        <w:rPr>
          <w:rFonts w:eastAsiaTheme="minorEastAsia"/>
        </w:rPr>
      </w:pPr>
      <w:r>
        <w:t xml:space="preserve">Where </w:t>
      </w:r>
      <m:oMath>
        <m:acc>
          <m:accPr>
            <m:ctrlPr>
              <w:rPr>
                <w:rFonts w:ascii="Cambria Math" w:hAnsi="Cambria Math"/>
                <w:i/>
              </w:rPr>
            </m:ctrlPr>
          </m:accPr>
          <m:e>
            <m:sSub>
              <m:sSubPr>
                <m:ctrlPr>
                  <w:rPr>
                    <w:rFonts w:ascii="Cambria Math" w:hAnsi="Cambria Math"/>
                    <w:i/>
                  </w:rPr>
                </m:ctrlPr>
              </m:sSubPr>
              <m:e>
                <m:r>
                  <w:rPr>
                    <w:rFonts w:ascii="Cambria Math" w:hAnsi="Cambria Math"/>
                  </w:rPr>
                  <m:t>RV</m:t>
                </m:r>
              </m:e>
              <m:sub>
                <m:r>
                  <w:rPr>
                    <w:rFonts w:ascii="Cambria Math" w:hAnsi="Cambria Math"/>
                  </w:rPr>
                  <m:t>t</m:t>
                </m:r>
              </m:sub>
            </m:sSub>
          </m:e>
        </m:acc>
      </m:oMath>
      <w:r>
        <w:rPr>
          <w:rFonts w:eastAsiaTheme="minorEastAsia"/>
        </w:rPr>
        <w:t xml:space="preserve"> denotes the out-of-sample forecasts from the competing models and </w:t>
      </w:r>
      <m:oMath>
        <m:sSub>
          <m:sSubPr>
            <m:ctrlPr>
              <w:rPr>
                <w:rFonts w:ascii="Cambria Math" w:hAnsi="Cambria Math"/>
                <w:i/>
              </w:rPr>
            </m:ctrlPr>
          </m:sSubPr>
          <m:e>
            <m:r>
              <w:rPr>
                <w:rFonts w:ascii="Cambria Math" w:hAnsi="Cambria Math"/>
              </w:rPr>
              <m:t>RV</m:t>
            </m:r>
          </m:e>
          <m:sub>
            <m:r>
              <w:rPr>
                <w:rFonts w:ascii="Cambria Math" w:hAnsi="Cambria Math"/>
              </w:rPr>
              <m:t>t</m:t>
            </m:r>
          </m:sub>
        </m:sSub>
      </m:oMath>
      <w:r>
        <w:rPr>
          <w:rFonts w:eastAsiaTheme="minorEastAsia"/>
        </w:rPr>
        <w:t xml:space="preserve"> is true volatility</w:t>
      </w:r>
      <w:r w:rsidR="00455889">
        <w:rPr>
          <w:rFonts w:eastAsiaTheme="minorEastAsia"/>
        </w:rPr>
        <w:t xml:space="preserve">, </w:t>
      </w:r>
      <m:oMath>
        <m:r>
          <w:rPr>
            <w:rFonts w:ascii="Cambria Math" w:hAnsi="Cambria Math"/>
          </w:rPr>
          <m:t>τ</m:t>
        </m:r>
      </m:oMath>
      <w:r>
        <w:rPr>
          <w:rFonts w:eastAsiaTheme="minorEastAsia"/>
        </w:rPr>
        <w:t xml:space="preserve"> </w:t>
      </w:r>
      <w:r w:rsidRPr="00D777D9">
        <w:rPr>
          <w:rFonts w:eastAsiaTheme="minorEastAsia"/>
        </w:rPr>
        <w:t xml:space="preserve">is the number of out-of-sample </w:t>
      </w:r>
      <w:r w:rsidR="00455889">
        <w:rPr>
          <w:rFonts w:eastAsiaTheme="minorEastAsia"/>
        </w:rPr>
        <w:t>periods</w:t>
      </w:r>
      <w:r w:rsidRPr="00D777D9">
        <w:rPr>
          <w:rFonts w:eastAsiaTheme="minorEastAsia"/>
        </w:rPr>
        <w:t xml:space="preserve">. </w:t>
      </w:r>
      <w:r>
        <w:rPr>
          <w:rFonts w:eastAsiaTheme="minorEastAsia"/>
        </w:rPr>
        <w:t xml:space="preserve"> </w:t>
      </w:r>
    </w:p>
    <w:p w14:paraId="64788138" w14:textId="77777777" w:rsidR="00D777D9" w:rsidRDefault="00D777D9" w:rsidP="0034066F">
      <w:pPr>
        <w:widowControl w:val="0"/>
        <w:spacing w:line="480" w:lineRule="auto"/>
        <w:rPr>
          <w:rFonts w:eastAsiaTheme="minorEastAsia"/>
        </w:rPr>
      </w:pPr>
    </w:p>
    <w:p w14:paraId="7E0223B9" w14:textId="1406C292" w:rsidR="00D777D9" w:rsidRPr="00455889" w:rsidRDefault="00455889" w:rsidP="0034066F">
      <w:pPr>
        <w:widowControl w:val="0"/>
        <w:spacing w:line="480" w:lineRule="auto"/>
        <w:rPr>
          <w:rFonts w:eastAsiaTheme="minorEastAsia"/>
          <w:bCs/>
          <w:i/>
          <w:iCs/>
        </w:rPr>
      </w:pPr>
      <w:r w:rsidRPr="00455889">
        <w:rPr>
          <w:rFonts w:eastAsiaTheme="minorEastAsia"/>
          <w:bCs/>
          <w:i/>
          <w:iCs/>
        </w:rPr>
        <w:t>2.</w:t>
      </w:r>
      <w:r>
        <w:rPr>
          <w:rFonts w:eastAsiaTheme="minorEastAsia"/>
          <w:bCs/>
          <w:i/>
          <w:iCs/>
        </w:rPr>
        <w:t>5</w:t>
      </w:r>
      <w:r w:rsidRPr="00455889">
        <w:rPr>
          <w:rFonts w:eastAsiaTheme="minorEastAsia"/>
          <w:bCs/>
          <w:i/>
          <w:iCs/>
        </w:rPr>
        <w:t xml:space="preserve">. </w:t>
      </w:r>
      <w:r w:rsidR="00D777D9" w:rsidRPr="00455889">
        <w:rPr>
          <w:rFonts w:eastAsiaTheme="minorEastAsia"/>
          <w:bCs/>
          <w:i/>
          <w:iCs/>
        </w:rPr>
        <w:t>M</w:t>
      </w:r>
      <w:r>
        <w:rPr>
          <w:rFonts w:eastAsiaTheme="minorEastAsia"/>
          <w:bCs/>
          <w:i/>
          <w:iCs/>
        </w:rPr>
        <w:t xml:space="preserve">odel </w:t>
      </w:r>
      <w:r w:rsidR="00D777D9" w:rsidRPr="00455889">
        <w:rPr>
          <w:rFonts w:eastAsiaTheme="minorEastAsia"/>
          <w:bCs/>
          <w:i/>
          <w:iCs/>
        </w:rPr>
        <w:t>C</w:t>
      </w:r>
      <w:r>
        <w:rPr>
          <w:rFonts w:eastAsiaTheme="minorEastAsia"/>
          <w:bCs/>
          <w:i/>
          <w:iCs/>
        </w:rPr>
        <w:t xml:space="preserve">onfidence </w:t>
      </w:r>
      <w:r w:rsidR="00D777D9" w:rsidRPr="00455889">
        <w:rPr>
          <w:rFonts w:eastAsiaTheme="minorEastAsia"/>
          <w:bCs/>
          <w:i/>
          <w:iCs/>
        </w:rPr>
        <w:t>S</w:t>
      </w:r>
      <w:r>
        <w:rPr>
          <w:rFonts w:eastAsiaTheme="minorEastAsia"/>
          <w:bCs/>
          <w:i/>
          <w:iCs/>
        </w:rPr>
        <w:t>et (MCS)</w:t>
      </w:r>
    </w:p>
    <w:p w14:paraId="33215D01" w14:textId="3AC08C60" w:rsidR="00D777D9" w:rsidRPr="00D777D9" w:rsidRDefault="00D777D9" w:rsidP="0034066F">
      <w:pPr>
        <w:widowControl w:val="0"/>
        <w:spacing w:line="480" w:lineRule="auto"/>
        <w:jc w:val="both"/>
        <w:rPr>
          <w:rFonts w:eastAsiaTheme="minorEastAsia"/>
        </w:rPr>
      </w:pPr>
      <w:r w:rsidRPr="00D777D9">
        <w:rPr>
          <w:rFonts w:eastAsiaTheme="minorEastAsia"/>
        </w:rPr>
        <w:t xml:space="preserve">Hansen et al. </w:t>
      </w:r>
      <w:r w:rsidRPr="00483F76">
        <w:rPr>
          <w:rFonts w:eastAsiaTheme="minorEastAsia"/>
        </w:rPr>
        <w:t>(20</w:t>
      </w:r>
      <w:r w:rsidR="00B76CA3" w:rsidRPr="00483F76">
        <w:rPr>
          <w:rFonts w:eastAsiaTheme="minorEastAsia"/>
        </w:rPr>
        <w:t>03</w:t>
      </w:r>
      <w:r w:rsidRPr="00483F76">
        <w:rPr>
          <w:rFonts w:eastAsiaTheme="minorEastAsia"/>
        </w:rPr>
        <w:t>)</w:t>
      </w:r>
      <w:r w:rsidRPr="00D777D9">
        <w:rPr>
          <w:rFonts w:eastAsiaTheme="minorEastAsia"/>
        </w:rPr>
        <w:t xml:space="preserve"> suggest the MCS procedure to identify </w:t>
      </w:r>
      <w:r w:rsidR="00455889">
        <w:rPr>
          <w:rFonts w:eastAsiaTheme="minorEastAsia"/>
        </w:rPr>
        <w:t xml:space="preserve">a </w:t>
      </w:r>
      <w:r w:rsidRPr="00D777D9">
        <w:rPr>
          <w:rFonts w:eastAsiaTheme="minorEastAsia"/>
        </w:rPr>
        <w:t>set of</w:t>
      </w:r>
      <w:r w:rsidR="00171DD5">
        <w:rPr>
          <w:rFonts w:eastAsiaTheme="minorEastAsia"/>
        </w:rPr>
        <w:t xml:space="preserve"> </w:t>
      </w:r>
      <w:r w:rsidRPr="00D777D9">
        <w:rPr>
          <w:rFonts w:eastAsiaTheme="minorEastAsia"/>
        </w:rPr>
        <w:t xml:space="preserve">superior models </w:t>
      </w:r>
      <w:r w:rsidR="00455889">
        <w:rPr>
          <w:rFonts w:eastAsiaTheme="minorEastAsia"/>
        </w:rPr>
        <w:t xml:space="preserve">through a </w:t>
      </w:r>
      <w:r w:rsidRPr="00D777D9">
        <w:rPr>
          <w:rFonts w:eastAsiaTheme="minorEastAsia"/>
        </w:rPr>
        <w:t xml:space="preserve">specific elimination algorithm. </w:t>
      </w:r>
      <w:r w:rsidR="00455889">
        <w:rPr>
          <w:rFonts w:eastAsiaTheme="minorEastAsia"/>
        </w:rPr>
        <w:t xml:space="preserve">For </w:t>
      </w:r>
      <w:r w:rsidRPr="00D777D9">
        <w:rPr>
          <w:rFonts w:eastAsiaTheme="minorEastAsia"/>
        </w:rPr>
        <w:t>a given level of confidence,</w:t>
      </w:r>
      <w:r>
        <w:rPr>
          <w:rFonts w:eastAsiaTheme="minorEastAsia"/>
        </w:rPr>
        <w:t xml:space="preserve"> </w:t>
      </w:r>
      <w:r w:rsidRPr="00D777D9">
        <w:rPr>
          <w:rFonts w:eastAsiaTheme="minorEastAsia"/>
        </w:rPr>
        <w:t xml:space="preserve">the elimination algorithm examines which group of models survive </w:t>
      </w:r>
      <w:r w:rsidR="00455889">
        <w:rPr>
          <w:rFonts w:eastAsiaTheme="minorEastAsia"/>
        </w:rPr>
        <w:t xml:space="preserve">among </w:t>
      </w:r>
      <w:r w:rsidRPr="00D777D9">
        <w:rPr>
          <w:rFonts w:eastAsiaTheme="minorEastAsia"/>
        </w:rPr>
        <w:t>a set of competing</w:t>
      </w:r>
      <w:r>
        <w:rPr>
          <w:rFonts w:eastAsiaTheme="minorEastAsia"/>
        </w:rPr>
        <w:t xml:space="preserve"> </w:t>
      </w:r>
      <w:r w:rsidRPr="00D777D9">
        <w:rPr>
          <w:rFonts w:eastAsiaTheme="minorEastAsia"/>
        </w:rPr>
        <w:t xml:space="preserve">models, </w:t>
      </w:r>
      <w:r w:rsidR="00455889">
        <w:rPr>
          <w:rFonts w:eastAsiaTheme="minorEastAsia"/>
        </w:rPr>
        <w:t xml:space="preserve">defined for a </w:t>
      </w:r>
      <w:r w:rsidRPr="00D777D9">
        <w:rPr>
          <w:rFonts w:eastAsiaTheme="minorEastAsia"/>
        </w:rPr>
        <w:t>specific loss function without a benchmark</w:t>
      </w:r>
      <w:r>
        <w:rPr>
          <w:rFonts w:eastAsiaTheme="minorEastAsia"/>
        </w:rPr>
        <w:t xml:space="preserve"> </w:t>
      </w:r>
      <w:r w:rsidRPr="00D777D9">
        <w:rPr>
          <w:rFonts w:eastAsiaTheme="minorEastAsia"/>
        </w:rPr>
        <w:t xml:space="preserve">model. </w:t>
      </w:r>
      <w:r w:rsidR="00455889">
        <w:rPr>
          <w:rFonts w:eastAsiaTheme="minorEastAsia"/>
        </w:rPr>
        <w:t>P</w:t>
      </w:r>
      <w:r w:rsidRPr="00D777D9">
        <w:rPr>
          <w:rFonts w:eastAsiaTheme="minorEastAsia"/>
        </w:rPr>
        <w:t>oorly p</w:t>
      </w:r>
      <w:r w:rsidR="00455889">
        <w:rPr>
          <w:rFonts w:eastAsiaTheme="minorEastAsia"/>
        </w:rPr>
        <w:t xml:space="preserve">erforming </w:t>
      </w:r>
      <w:r w:rsidRPr="00D777D9">
        <w:rPr>
          <w:rFonts w:eastAsiaTheme="minorEastAsia"/>
        </w:rPr>
        <w:t>models are eliminated from the set of competing models.</w:t>
      </w:r>
      <w:r>
        <w:rPr>
          <w:rFonts w:eastAsiaTheme="minorEastAsia"/>
        </w:rPr>
        <w:t xml:space="preserve"> </w:t>
      </w:r>
      <w:r w:rsidRPr="00D777D9">
        <w:rPr>
          <w:rFonts w:eastAsiaTheme="minorEastAsia"/>
        </w:rPr>
        <w:t xml:space="preserve">Briefly, </w:t>
      </w:r>
      <w:r w:rsidR="00455889">
        <w:rPr>
          <w:rFonts w:eastAsiaTheme="minorEastAsia"/>
        </w:rPr>
        <w:t xml:space="preserve">for </w:t>
      </w:r>
      <w:r w:rsidRPr="00D777D9">
        <w:rPr>
          <w:rFonts w:eastAsiaTheme="minorEastAsia"/>
        </w:rPr>
        <w:t>the MCS procedure</w:t>
      </w:r>
      <w:r w:rsidR="00455889">
        <w:rPr>
          <w:rFonts w:eastAsiaTheme="minorEastAsia"/>
        </w:rPr>
        <w:t>,</w:t>
      </w:r>
      <w:r>
        <w:rPr>
          <w:rFonts w:eastAsiaTheme="minorEastAsia"/>
        </w:rPr>
        <w:t xml:space="preserve"> </w:t>
      </w:r>
      <w:r w:rsidR="00455889">
        <w:rPr>
          <w:rFonts w:eastAsiaTheme="minorEastAsia"/>
        </w:rPr>
        <w:t>l</w:t>
      </w:r>
      <w:r>
        <w:rPr>
          <w:rFonts w:eastAsiaTheme="minorEastAsia"/>
        </w:rPr>
        <w:t xml:space="preserve">et </w:t>
      </w:r>
      <m:oMath>
        <m:sSub>
          <m:sSubPr>
            <m:ctrlPr>
              <w:rPr>
                <w:rFonts w:ascii="Cambria Math" w:hAnsi="Cambria Math"/>
                <w:i/>
              </w:rPr>
            </m:ctrlPr>
          </m:sSubPr>
          <m:e>
            <m:r>
              <w:rPr>
                <w:rFonts w:ascii="Cambria Math" w:hAnsi="Cambria Math"/>
              </w:rPr>
              <m:t>L</m:t>
            </m:r>
          </m:e>
          <m:sub>
            <m:r>
              <w:rPr>
                <w:rFonts w:ascii="Cambria Math" w:hAnsi="Cambria Math"/>
              </w:rPr>
              <m:t>i,k</m:t>
            </m:r>
          </m:sub>
        </m:sSub>
      </m:oMath>
      <w:r>
        <w:rPr>
          <w:rFonts w:eastAsiaTheme="minorEastAsia"/>
        </w:rPr>
        <w:t xml:space="preserve"> denote the criterion of model </w:t>
      </w:r>
      <m:oMath>
        <m:r>
          <w:rPr>
            <w:rFonts w:ascii="Cambria Math" w:hAnsi="Cambria Math"/>
          </w:rPr>
          <m:t>i</m:t>
        </m:r>
      </m:oMath>
      <w:r>
        <w:rPr>
          <w:rFonts w:eastAsiaTheme="minorEastAsia"/>
        </w:rPr>
        <w:t xml:space="preserve"> and </w:t>
      </w:r>
      <m:oMath>
        <m:sSub>
          <m:sSubPr>
            <m:ctrlPr>
              <w:rPr>
                <w:rFonts w:ascii="Cambria Math" w:hAnsi="Cambria Math"/>
                <w:i/>
              </w:rPr>
            </m:ctrlPr>
          </m:sSubPr>
          <m:e>
            <m:r>
              <w:rPr>
                <w:rFonts w:ascii="Cambria Math" w:hAnsi="Cambria Math"/>
              </w:rPr>
              <m:t>d</m:t>
            </m:r>
          </m:e>
          <m:sub>
            <m:r>
              <w:rPr>
                <w:rFonts w:ascii="Cambria Math" w:hAnsi="Cambria Math"/>
              </w:rPr>
              <m:t>i,j,k</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i,k</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j,k</m:t>
            </m:r>
          </m:sub>
        </m:sSub>
      </m:oMath>
      <w:r>
        <w:rPr>
          <w:rFonts w:eastAsiaTheme="minorEastAsia"/>
        </w:rPr>
        <w:t xml:space="preserve"> is the differential. The null hypothesis of MCS procedure is </w:t>
      </w:r>
      <m:oMath>
        <m:sSub>
          <m:sSubPr>
            <m:ctrlPr>
              <w:rPr>
                <w:rFonts w:ascii="Cambria Math" w:hAnsi="Cambria Math"/>
                <w:i/>
              </w:rPr>
            </m:ctrlPr>
          </m:sSubPr>
          <m:e>
            <m:r>
              <w:rPr>
                <w:rFonts w:ascii="Cambria Math" w:hAnsi="Cambria Math"/>
              </w:rPr>
              <m:t>H</m:t>
            </m:r>
          </m:e>
          <m:sub>
            <m:r>
              <w:rPr>
                <w:rFonts w:ascii="Cambria Math" w:hAnsi="Cambria Math"/>
              </w:rPr>
              <m:t>0,M</m:t>
            </m:r>
          </m:sub>
        </m:sSub>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i,j,k</m:t>
                </m:r>
              </m:sub>
            </m:sSub>
          </m:e>
        </m:d>
        <m:r>
          <w:rPr>
            <w:rFonts w:ascii="Cambria Math" w:hAnsi="Cambria Math"/>
          </w:rPr>
          <m:t>=0,</m:t>
        </m:r>
        <m:r>
          <w:rPr>
            <w:rFonts w:ascii="Cambria Math" w:eastAsiaTheme="minorEastAsia" w:hAnsi="Cambria Math"/>
          </w:rPr>
          <m:t xml:space="preserve"> for i,j ∈M,  M⊂</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0</m:t>
            </m:r>
          </m:sup>
        </m:sSup>
      </m:oMath>
      <w:r>
        <w:rPr>
          <w:rFonts w:eastAsiaTheme="minorEastAsia"/>
        </w:rPr>
        <w:t xml:space="preserve"> and the null is tested against the alternative </w:t>
      </w:r>
      <m:oMath>
        <m:sSub>
          <m:sSubPr>
            <m:ctrlPr>
              <w:rPr>
                <w:rFonts w:ascii="Cambria Math" w:hAnsi="Cambria Math"/>
                <w:i/>
              </w:rPr>
            </m:ctrlPr>
          </m:sSubPr>
          <m:e>
            <m:r>
              <w:rPr>
                <w:rFonts w:ascii="Cambria Math" w:hAnsi="Cambria Math"/>
              </w:rPr>
              <m:t>H</m:t>
            </m:r>
          </m:e>
          <m:sub>
            <m:r>
              <w:rPr>
                <w:rFonts w:ascii="Cambria Math" w:hAnsi="Cambria Math"/>
              </w:rPr>
              <m:t>1,M</m:t>
            </m:r>
          </m:sub>
        </m:sSub>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i,j,k</m:t>
                </m:r>
              </m:sub>
            </m:sSub>
          </m:e>
        </m:d>
        <m:r>
          <w:rPr>
            <w:rFonts w:ascii="Cambria Math" w:hAnsi="Cambria Math"/>
          </w:rPr>
          <m:t>≠0,</m:t>
        </m:r>
        <m:r>
          <w:rPr>
            <w:rFonts w:ascii="Cambria Math" w:eastAsiaTheme="minorEastAsia" w:hAnsi="Cambria Math"/>
          </w:rPr>
          <m:t xml:space="preserve"> for some i,j ∈M</m:t>
        </m:r>
      </m:oMath>
      <w:r>
        <w:rPr>
          <w:rFonts w:eastAsiaTheme="minorEastAsia"/>
        </w:rPr>
        <w:t>.</w:t>
      </w:r>
    </w:p>
    <w:p w14:paraId="052D32A3" w14:textId="1725DBCB" w:rsidR="00171137" w:rsidRPr="00731057" w:rsidRDefault="00731057" w:rsidP="0034066F">
      <w:pPr>
        <w:widowControl w:val="0"/>
        <w:spacing w:line="480" w:lineRule="auto"/>
        <w:rPr>
          <w:b/>
        </w:rPr>
      </w:pPr>
      <w:r w:rsidRPr="00731057">
        <w:rPr>
          <w:b/>
        </w:rPr>
        <w:lastRenderedPageBreak/>
        <w:t xml:space="preserve">3. </w:t>
      </w:r>
      <w:r w:rsidR="00171137" w:rsidRPr="00731057">
        <w:rPr>
          <w:b/>
        </w:rPr>
        <w:t>Data</w:t>
      </w:r>
      <w:r w:rsidRPr="00731057">
        <w:rPr>
          <w:b/>
        </w:rPr>
        <w:t>.</w:t>
      </w:r>
    </w:p>
    <w:p w14:paraId="37C16EDA" w14:textId="07DBF22D" w:rsidR="00DE207E" w:rsidRDefault="00DE207E" w:rsidP="0034066F">
      <w:pPr>
        <w:widowControl w:val="0"/>
        <w:spacing w:line="480" w:lineRule="auto"/>
        <w:jc w:val="both"/>
      </w:pPr>
      <w:r w:rsidRPr="002B5834">
        <w:t xml:space="preserve">The data used in this study </w:t>
      </w:r>
      <w:r>
        <w:t>consists of</w:t>
      </w:r>
      <w:r w:rsidRPr="002B5834">
        <w:t xml:space="preserve"> </w:t>
      </w:r>
      <w:r>
        <w:t xml:space="preserve">the </w:t>
      </w:r>
      <w:r w:rsidRPr="002B5834">
        <w:t>stock market</w:t>
      </w:r>
      <w:r>
        <w:t xml:space="preserve"> indices of G7</w:t>
      </w:r>
      <w:r w:rsidR="00731057">
        <w:t xml:space="preserve"> (</w:t>
      </w:r>
      <w:r>
        <w:t>g</w:t>
      </w:r>
      <w:r w:rsidRPr="00594226">
        <w:t xml:space="preserve">roup of </w:t>
      </w:r>
      <w:r w:rsidR="00731057">
        <w:t>s</w:t>
      </w:r>
      <w:r w:rsidRPr="00594226">
        <w:t>even</w:t>
      </w:r>
      <w:r w:rsidR="00731057">
        <w:t>)</w:t>
      </w:r>
      <w:r w:rsidR="00862EEC">
        <w:t xml:space="preserve">, namely </w:t>
      </w:r>
      <w:r w:rsidR="00731057">
        <w:t xml:space="preserve">Canada, France, Germany, Italy, Japan, </w:t>
      </w:r>
      <w:r w:rsidRPr="00594226">
        <w:t xml:space="preserve">United </w:t>
      </w:r>
      <w:r w:rsidR="00731057">
        <w:t>Kingdom</w:t>
      </w:r>
      <w:r>
        <w:t>,</w:t>
      </w:r>
      <w:r w:rsidRPr="00027F21">
        <w:t xml:space="preserve"> </w:t>
      </w:r>
      <w:r w:rsidR="00731057">
        <w:t xml:space="preserve">and </w:t>
      </w:r>
      <w:r w:rsidRPr="00594226">
        <w:t xml:space="preserve">United </w:t>
      </w:r>
      <w:r w:rsidR="00731057">
        <w:t>States</w:t>
      </w:r>
      <w:r>
        <w:t>.</w:t>
      </w:r>
      <w:r w:rsidRPr="002B5834">
        <w:t xml:space="preserve"> </w:t>
      </w:r>
      <w:r w:rsidR="00731057">
        <w:t>Daily data for</w:t>
      </w:r>
      <w:r>
        <w:t xml:space="preserve"> </w:t>
      </w:r>
      <w:r w:rsidRPr="002B5834">
        <w:t>closing prices, range prices (open, high, low, close), and 5-minute reali</w:t>
      </w:r>
      <w:r w:rsidR="005743BF">
        <w:t>z</w:t>
      </w:r>
      <w:r w:rsidRPr="002B5834">
        <w:t>ed variance</w:t>
      </w:r>
      <w:r>
        <w:t xml:space="preserve"> </w:t>
      </w:r>
      <w:r w:rsidR="00731057">
        <w:t xml:space="preserve">is taken over the period from </w:t>
      </w:r>
      <w:r>
        <w:t xml:space="preserve">June 1, </w:t>
      </w:r>
      <w:proofErr w:type="gramStart"/>
      <w:r>
        <w:t>2009</w:t>
      </w:r>
      <w:proofErr w:type="gramEnd"/>
      <w:r>
        <w:t xml:space="preserve"> to October 22, 2021</w:t>
      </w:r>
      <w:r w:rsidRPr="002B5834">
        <w:t xml:space="preserve">. </w:t>
      </w:r>
      <w:r>
        <w:t xml:space="preserve">The data is obtained from the Oxford-Man Institute’s Quantitative Finance Realized Library. </w:t>
      </w:r>
      <w:r w:rsidR="00731057">
        <w:t xml:space="preserve">As </w:t>
      </w:r>
      <w:r w:rsidRPr="00EB33C2">
        <w:t>trading days across the G</w:t>
      </w:r>
      <w:r>
        <w:t>7</w:t>
      </w:r>
      <w:r w:rsidRPr="00EB33C2">
        <w:t xml:space="preserve"> stock markets differ</w:t>
      </w:r>
      <w:r w:rsidR="00731057">
        <w:t>, the</w:t>
      </w:r>
      <w:r>
        <w:t xml:space="preserve"> </w:t>
      </w:r>
      <w:r w:rsidR="00862EEC">
        <w:t xml:space="preserve">data </w:t>
      </w:r>
      <w:r>
        <w:t xml:space="preserve">cleaning process </w:t>
      </w:r>
      <w:r w:rsidR="00731057">
        <w:t xml:space="preserve">involves forming </w:t>
      </w:r>
      <w:r>
        <w:t>a common data sample</w:t>
      </w:r>
      <w:r w:rsidR="00731057">
        <w:t>, with</w:t>
      </w:r>
      <w:r w:rsidRPr="00EB33C2">
        <w:t xml:space="preserve"> </w:t>
      </w:r>
      <w:r>
        <w:t>n</w:t>
      </w:r>
      <w:r w:rsidR="00731057">
        <w:t>o</w:t>
      </w:r>
      <w:r>
        <w:t xml:space="preserve">n-values </w:t>
      </w:r>
      <w:r w:rsidR="006F2A3E">
        <w:t xml:space="preserve">in </w:t>
      </w:r>
      <w:r>
        <w:t xml:space="preserve">any of the </w:t>
      </w:r>
      <w:r w:rsidRPr="00EB33C2">
        <w:t xml:space="preserve">markets </w:t>
      </w:r>
      <w:r w:rsidR="00731057">
        <w:t xml:space="preserve">being </w:t>
      </w:r>
      <w:r>
        <w:t>omitted</w:t>
      </w:r>
      <w:r w:rsidRPr="00EB33C2">
        <w:t xml:space="preserve">. </w:t>
      </w:r>
    </w:p>
    <w:p w14:paraId="29115CD5" w14:textId="1A230E4E" w:rsidR="006F2A3E" w:rsidRDefault="001A5970" w:rsidP="0034066F">
      <w:pPr>
        <w:widowControl w:val="0"/>
        <w:spacing w:line="480" w:lineRule="auto"/>
        <w:ind w:firstLine="720"/>
        <w:jc w:val="both"/>
      </w:pPr>
      <w:r w:rsidRPr="006C63F6">
        <w:t xml:space="preserve">Table 1 </w:t>
      </w:r>
      <w:r w:rsidR="00731057">
        <w:t xml:space="preserve">presents </w:t>
      </w:r>
      <w:r w:rsidRPr="006C63F6">
        <w:t xml:space="preserve">the descriptive statistics </w:t>
      </w:r>
      <w:r w:rsidR="00731057">
        <w:t xml:space="preserve">for </w:t>
      </w:r>
      <w:r w:rsidRPr="006C63F6">
        <w:t xml:space="preserve">all series after </w:t>
      </w:r>
      <w:r>
        <w:t>the dat</w:t>
      </w:r>
      <w:r w:rsidR="00731057">
        <w:t>a</w:t>
      </w:r>
      <w:r>
        <w:t xml:space="preserve"> alignment process </w:t>
      </w:r>
      <w:r w:rsidR="00731057">
        <w:t>and</w:t>
      </w:r>
      <w:r w:rsidRPr="006C63F6">
        <w:t xml:space="preserve"> leads to approximately </w:t>
      </w:r>
      <w:r>
        <w:t>2780</w:t>
      </w:r>
      <w:r w:rsidRPr="006C63F6">
        <w:t xml:space="preserve"> observations for each series. </w:t>
      </w:r>
      <w:r>
        <w:t>The first 600 observation</w:t>
      </w:r>
      <w:r w:rsidR="006F2A3E">
        <w:t>s</w:t>
      </w:r>
      <w:r>
        <w:t xml:space="preserve"> (2009/06/02 – 2012/01/18) </w:t>
      </w:r>
      <w:r w:rsidR="006F2A3E">
        <w:t xml:space="preserve">are </w:t>
      </w:r>
      <w:r>
        <w:t>used for in-sample estimation</w:t>
      </w:r>
      <w:r w:rsidR="00731057">
        <w:t xml:space="preserve">, with </w:t>
      </w:r>
      <w:r>
        <w:t>the re</w:t>
      </w:r>
      <w:r w:rsidR="00731057">
        <w:t xml:space="preserve">maining </w:t>
      </w:r>
      <w:r>
        <w:t xml:space="preserve">(2180) observations (2012/01/19 – 2021/10/22) </w:t>
      </w:r>
      <w:r w:rsidR="00731057">
        <w:t xml:space="preserve">used for </w:t>
      </w:r>
      <w:r>
        <w:t>out-of-sample one-step-ahead rolling window forecast</w:t>
      </w:r>
      <w:r w:rsidR="00731057">
        <w:t>s</w:t>
      </w:r>
      <w:r>
        <w:t xml:space="preserve">. </w:t>
      </w:r>
      <w:r w:rsidRPr="006C63F6">
        <w:t>The summary statistics are as expected</w:t>
      </w:r>
      <w:r w:rsidR="00655D4D">
        <w:t xml:space="preserve"> for this data</w:t>
      </w:r>
      <w:r>
        <w:t>.</w:t>
      </w:r>
      <w:r w:rsidRPr="006C63F6">
        <w:t xml:space="preserve"> </w:t>
      </w:r>
      <w:r>
        <w:t xml:space="preserve">For example, the mean of all the series </w:t>
      </w:r>
      <w:r w:rsidR="00655D4D">
        <w:t xml:space="preserve">is </w:t>
      </w:r>
      <w:r>
        <w:t xml:space="preserve">close to zero. </w:t>
      </w:r>
      <w:r w:rsidR="00655D4D">
        <w:t>N</w:t>
      </w:r>
      <w:r>
        <w:t xml:space="preserve">egative </w:t>
      </w:r>
      <w:r w:rsidRPr="006C63F6">
        <w:t>skewness</w:t>
      </w:r>
      <w:r>
        <w:t xml:space="preserve"> </w:t>
      </w:r>
      <w:r w:rsidR="00655D4D">
        <w:t>is found for the returns series, with positive skewness for the volatility measures</w:t>
      </w:r>
      <w:r>
        <w:t xml:space="preserve">. </w:t>
      </w:r>
      <w:r w:rsidR="00655D4D">
        <w:t>E</w:t>
      </w:r>
      <w:r w:rsidRPr="006C63F6">
        <w:t xml:space="preserve">xcess kurtosis </w:t>
      </w:r>
      <w:r w:rsidR="00655D4D">
        <w:t>i</w:t>
      </w:r>
      <w:r w:rsidRPr="006C63F6">
        <w:t>s</w:t>
      </w:r>
      <w:r w:rsidR="00655D4D">
        <w:t xml:space="preserve"> </w:t>
      </w:r>
      <w:r w:rsidR="006F2A3E">
        <w:t xml:space="preserve">reported </w:t>
      </w:r>
      <w:r w:rsidR="00655D4D">
        <w:t xml:space="preserve">for all series, and, in turn, significant non-normality is </w:t>
      </w:r>
      <w:r w:rsidR="006F2A3E">
        <w:t>n</w:t>
      </w:r>
      <w:r w:rsidR="00655D4D">
        <w:t>oted.</w:t>
      </w:r>
      <w:r w:rsidR="006F2A3E">
        <w:t xml:space="preserve"> </w:t>
      </w:r>
      <w:proofErr w:type="spellStart"/>
      <w:r w:rsidRPr="006C63F6">
        <w:t>Ljung</w:t>
      </w:r>
      <w:proofErr w:type="spellEnd"/>
      <w:r w:rsidRPr="006C63F6">
        <w:t>-Box Q-statistic</w:t>
      </w:r>
      <w:r w:rsidR="006F2A3E">
        <w:t>s</w:t>
      </w:r>
      <w:r w:rsidRPr="006C63F6">
        <w:t xml:space="preserve"> </w:t>
      </w:r>
      <w:r w:rsidR="00655D4D">
        <w:t>support the presence of autocorrelation, which is stronger for the volatility series</w:t>
      </w:r>
      <w:r w:rsidR="006F2A3E">
        <w:t>, while a</w:t>
      </w:r>
      <w:r w:rsidR="006F2A3E" w:rsidRPr="006C63F6">
        <w:t>ugmented Dickey-Fuller (ADF) tests reject the null hypothesis of a unit root</w:t>
      </w:r>
      <w:r w:rsidR="006F2A3E">
        <w:t>.</w:t>
      </w:r>
    </w:p>
    <w:p w14:paraId="53B567EE" w14:textId="77777777" w:rsidR="002D6728" w:rsidRDefault="002D6728" w:rsidP="0034066F">
      <w:pPr>
        <w:widowControl w:val="0"/>
        <w:spacing w:line="480" w:lineRule="auto"/>
        <w:rPr>
          <w:b/>
        </w:rPr>
      </w:pPr>
    </w:p>
    <w:p w14:paraId="4F70FDBD" w14:textId="450CB0C4" w:rsidR="00171118" w:rsidRPr="00CA08F1" w:rsidRDefault="00CA08F1" w:rsidP="0034066F">
      <w:pPr>
        <w:widowControl w:val="0"/>
        <w:spacing w:line="480" w:lineRule="auto"/>
        <w:rPr>
          <w:b/>
        </w:rPr>
      </w:pPr>
      <w:r w:rsidRPr="00CA08F1">
        <w:rPr>
          <w:b/>
        </w:rPr>
        <w:t xml:space="preserve">4. Empirical </w:t>
      </w:r>
      <w:r w:rsidR="00171137" w:rsidRPr="00CA08F1">
        <w:rPr>
          <w:b/>
        </w:rPr>
        <w:t>Results</w:t>
      </w:r>
      <w:r w:rsidRPr="00CA08F1">
        <w:rPr>
          <w:b/>
        </w:rPr>
        <w:t>.</w:t>
      </w:r>
    </w:p>
    <w:p w14:paraId="23AF3A94" w14:textId="1C035B3F" w:rsidR="00B20311" w:rsidRDefault="00DA270C" w:rsidP="0034066F">
      <w:pPr>
        <w:widowControl w:val="0"/>
        <w:spacing w:line="480" w:lineRule="auto"/>
        <w:jc w:val="both"/>
      </w:pPr>
      <w:r>
        <w:t>Using one-step-ahead rolling window</w:t>
      </w:r>
      <w:r w:rsidR="00DC358A">
        <w:t>s</w:t>
      </w:r>
      <w:r>
        <w:t>, w</w:t>
      </w:r>
      <w:r w:rsidR="00171118">
        <w:t xml:space="preserve">e evaluate the forecast results of seven competing models </w:t>
      </w:r>
      <w:r w:rsidR="00DC358A">
        <w:t xml:space="preserve">(HAR-RV as the baseline and the OHLC range-based estimators: </w:t>
      </w:r>
      <w:r w:rsidR="00EC642A">
        <w:t>c</w:t>
      </w:r>
      <w:r w:rsidR="00DC358A">
        <w:t>lose-to-close, overnight volatility, Parkinson, Garman-</w:t>
      </w:r>
      <w:proofErr w:type="spellStart"/>
      <w:r w:rsidR="00DC358A">
        <w:t>Klass</w:t>
      </w:r>
      <w:proofErr w:type="spellEnd"/>
      <w:r w:rsidR="00DC358A">
        <w:t xml:space="preserve">, Roger-Satchell, and Yang-Zhang) for </w:t>
      </w:r>
      <w:r w:rsidR="00171118">
        <w:t>5-min</w:t>
      </w:r>
      <w:r w:rsidR="00DC358A">
        <w:t>ute</w:t>
      </w:r>
      <w:r w:rsidR="00171118">
        <w:t xml:space="preserve"> realized volatility</w:t>
      </w:r>
      <w:r w:rsidR="00A41FFB">
        <w:t xml:space="preserve"> for seven international </w:t>
      </w:r>
      <w:r w:rsidR="00A41FFB" w:rsidRPr="00311157">
        <w:t xml:space="preserve">markets (for clarity, Table 2 summarises the models </w:t>
      </w:r>
      <w:r w:rsidR="00A41FFB" w:rsidRPr="00311157">
        <w:lastRenderedPageBreak/>
        <w:t>and stock markets)</w:t>
      </w:r>
      <w:r w:rsidR="00171118" w:rsidRPr="00311157">
        <w:t>.</w:t>
      </w:r>
      <w:r w:rsidR="002D6728" w:rsidRPr="00311157">
        <w:t xml:space="preserve"> </w:t>
      </w:r>
      <w:r w:rsidR="00D81A7E" w:rsidRPr="00311157">
        <w:t>To</w:t>
      </w:r>
      <w:r w:rsidR="00D81A7E">
        <w:t xml:space="preserve"> </w:t>
      </w:r>
      <w:r w:rsidR="00DC358A">
        <w:t>evaluate the forecasts, we use the</w:t>
      </w:r>
      <w:r w:rsidR="00D81A7E" w:rsidRPr="0072212F">
        <w:t xml:space="preserve"> QLIKE</w:t>
      </w:r>
      <w:r w:rsidR="00D81A7E">
        <w:t xml:space="preserve"> and</w:t>
      </w:r>
      <w:r w:rsidR="00D81A7E" w:rsidRPr="0072212F">
        <w:t xml:space="preserve"> HMSE</w:t>
      </w:r>
      <w:r w:rsidR="00D81A7E">
        <w:t xml:space="preserve"> </w:t>
      </w:r>
      <w:r w:rsidR="00DC358A">
        <w:t xml:space="preserve">loss functions, which are regarded as robust </w:t>
      </w:r>
      <w:r w:rsidR="00D81A7E">
        <w:t>(Patton, 2011)</w:t>
      </w:r>
      <w:r w:rsidR="0081357D">
        <w:t>, while t</w:t>
      </w:r>
      <w:r w:rsidR="00D81A7E" w:rsidRPr="0072212F">
        <w:t>he MCS procedure identif</w:t>
      </w:r>
      <w:r w:rsidR="0081357D">
        <w:t>ies</w:t>
      </w:r>
      <w:r w:rsidR="00DC358A">
        <w:t xml:space="preserve"> </w:t>
      </w:r>
      <w:r w:rsidR="00D81A7E" w:rsidRPr="0072212F">
        <w:t xml:space="preserve">the set of </w:t>
      </w:r>
      <w:r w:rsidR="0081357D">
        <w:t xml:space="preserve">preferred </w:t>
      </w:r>
      <w:r w:rsidR="00D81A7E" w:rsidRPr="0072212F">
        <w:t>models</w:t>
      </w:r>
      <w:r w:rsidR="00B20311">
        <w:t>.</w:t>
      </w:r>
      <w:r w:rsidR="00B20311">
        <w:rPr>
          <w:rStyle w:val="FootnoteReference"/>
        </w:rPr>
        <w:footnoteReference w:id="6"/>
      </w:r>
      <w:r w:rsidR="00B20311">
        <w:t xml:space="preserve"> </w:t>
      </w:r>
    </w:p>
    <w:p w14:paraId="146706CD" w14:textId="61AE9578" w:rsidR="007909BC" w:rsidRDefault="00AF2D17" w:rsidP="0034066F">
      <w:pPr>
        <w:widowControl w:val="0"/>
        <w:spacing w:line="480" w:lineRule="auto"/>
        <w:ind w:firstLine="720"/>
        <w:jc w:val="both"/>
      </w:pPr>
      <w:r>
        <w:t xml:space="preserve">The forecast results are presented in Table </w:t>
      </w:r>
      <w:r w:rsidR="00533674">
        <w:t>3</w:t>
      </w:r>
      <w:r>
        <w:t>. The</w:t>
      </w:r>
      <w:r w:rsidR="00DD793D">
        <w:t xml:space="preserve"> realized volatility forecasts </w:t>
      </w:r>
      <w:r>
        <w:t xml:space="preserve">for the </w:t>
      </w:r>
      <w:r w:rsidR="00DD793D">
        <w:t xml:space="preserve">CAC and DAX stock indices </w:t>
      </w:r>
      <w:r>
        <w:t xml:space="preserve">suggest </w:t>
      </w:r>
      <w:r w:rsidR="00BA7530">
        <w:t xml:space="preserve">that HAR-RV forecasts can be improved upon by the addition of overnight </w:t>
      </w:r>
      <w:r w:rsidR="00DD793D">
        <w:t>information</w:t>
      </w:r>
      <w:r w:rsidR="00BA7530">
        <w:t xml:space="preserve">. The </w:t>
      </w:r>
      <w:r w:rsidR="00DD793D">
        <w:t>range estimators (Parkinson, Garman-</w:t>
      </w:r>
      <w:proofErr w:type="spellStart"/>
      <w:r w:rsidR="00DD793D">
        <w:t>Klass</w:t>
      </w:r>
      <w:proofErr w:type="spellEnd"/>
      <w:r w:rsidR="00DD793D">
        <w:t xml:space="preserve">, Roger-Satchell, and Yang-Zhang) do not </w:t>
      </w:r>
      <w:r w:rsidR="00BA7530">
        <w:t xml:space="preserve">provide additional </w:t>
      </w:r>
      <w:r w:rsidR="00DD793D">
        <w:t>extra information o</w:t>
      </w:r>
      <w:r w:rsidR="00BA7530">
        <w:t xml:space="preserve">ver </w:t>
      </w:r>
      <w:r w:rsidR="00DD793D">
        <w:t xml:space="preserve">the HAR-RV </w:t>
      </w:r>
      <w:r w:rsidR="00BA7530">
        <w:t xml:space="preserve">benchmark </w:t>
      </w:r>
      <w:r w:rsidR="00DD793D">
        <w:t xml:space="preserve">model. </w:t>
      </w:r>
      <w:r w:rsidR="00BA7530">
        <w:t xml:space="preserve">For the </w:t>
      </w:r>
      <w:r w:rsidR="00DD793D">
        <w:t xml:space="preserve">results of </w:t>
      </w:r>
      <w:r w:rsidR="00BA7530">
        <w:t xml:space="preserve">the </w:t>
      </w:r>
      <w:r w:rsidR="00DD793D">
        <w:t xml:space="preserve">FTSE index, the </w:t>
      </w:r>
      <w:r w:rsidR="00BA7530">
        <w:t xml:space="preserve">overnight variable </w:t>
      </w:r>
      <w:r w:rsidR="00DD793D">
        <w:t>does not improve the forecasting accuracy o</w:t>
      </w:r>
      <w:r w:rsidR="00BA7530">
        <w:t xml:space="preserve">ver </w:t>
      </w:r>
      <w:r w:rsidR="0026075E">
        <w:t xml:space="preserve">the </w:t>
      </w:r>
      <w:r w:rsidR="00DD793D">
        <w:t>HAR-RV model</w:t>
      </w:r>
      <w:r w:rsidR="00BA7530">
        <w:t>, in contrast with the results for the other indices</w:t>
      </w:r>
      <w:r w:rsidR="00DD793D">
        <w:t>. This result</w:t>
      </w:r>
      <w:r w:rsidR="00BA7530">
        <w:t xml:space="preserve">, however, </w:t>
      </w:r>
      <w:r w:rsidR="00DD793D">
        <w:t xml:space="preserve">is consistent with the findings of </w:t>
      </w:r>
      <w:proofErr w:type="spellStart"/>
      <w:r w:rsidR="00DD793D">
        <w:t>Kambouroudis</w:t>
      </w:r>
      <w:proofErr w:type="spellEnd"/>
      <w:r w:rsidR="00DD793D">
        <w:t xml:space="preserve"> et al. (202</w:t>
      </w:r>
      <w:r w:rsidR="00FD3005">
        <w:t>1</w:t>
      </w:r>
      <w:r w:rsidR="00DD793D">
        <w:t>)</w:t>
      </w:r>
      <w:r w:rsidR="00BA7530">
        <w:t xml:space="preserve">, who note </w:t>
      </w:r>
      <w:r w:rsidR="0026075E">
        <w:t>th</w:t>
      </w:r>
      <w:r w:rsidR="00BA7530">
        <w:t>e</w:t>
      </w:r>
      <w:r w:rsidR="0026075E">
        <w:t xml:space="preserve"> FTSE </w:t>
      </w:r>
      <w:r w:rsidR="00BA7530">
        <w:t xml:space="preserve">as the </w:t>
      </w:r>
      <w:r w:rsidR="0026075E">
        <w:t>exception</w:t>
      </w:r>
      <w:r w:rsidR="0026075E" w:rsidRPr="0026075E">
        <w:t xml:space="preserve"> </w:t>
      </w:r>
      <w:r w:rsidR="0026075E">
        <w:t xml:space="preserve">among other indices </w:t>
      </w:r>
      <w:r w:rsidR="00BA7530">
        <w:t xml:space="preserve">for </w:t>
      </w:r>
      <w:r w:rsidR="0026075E">
        <w:t xml:space="preserve">which </w:t>
      </w:r>
      <w:r w:rsidR="00BA7530">
        <w:t xml:space="preserve">the overnight information </w:t>
      </w:r>
      <w:r w:rsidR="0026075E">
        <w:t xml:space="preserve">does not improve forecast </w:t>
      </w:r>
      <w:r w:rsidR="004D502F">
        <w:t>performance</w:t>
      </w:r>
      <w:r w:rsidR="00DD793D">
        <w:t xml:space="preserve">. </w:t>
      </w:r>
      <w:r w:rsidR="00BA7530">
        <w:t xml:space="preserve">Unlike </w:t>
      </w:r>
      <w:r w:rsidR="0026075E">
        <w:t>the</w:t>
      </w:r>
      <w:r w:rsidR="00DD793D">
        <w:t xml:space="preserve"> CAC and DAX indices, realized volatility forecasts </w:t>
      </w:r>
      <w:r w:rsidR="00BA7530">
        <w:t xml:space="preserve">for the </w:t>
      </w:r>
      <w:r w:rsidR="00DD793D">
        <w:t>FTSE are improved by the Parkinson range estimator</w:t>
      </w:r>
      <w:r w:rsidR="0026075E">
        <w:t xml:space="preserve"> (</w:t>
      </w:r>
      <w:r w:rsidR="00DD793D">
        <w:t>HAR-RV-PK</w:t>
      </w:r>
      <w:r w:rsidR="0026075E">
        <w:t>)</w:t>
      </w:r>
      <w:r w:rsidR="00DD793D">
        <w:t xml:space="preserve">. </w:t>
      </w:r>
      <w:r w:rsidR="00BA7530">
        <w:t>T</w:t>
      </w:r>
      <w:r w:rsidR="00DD793D">
        <w:t>he inclusion of more sophisticated range</w:t>
      </w:r>
      <w:r w:rsidR="00BA7530">
        <w:t>-</w:t>
      </w:r>
      <w:r w:rsidR="00DD793D">
        <w:t>based estimators such as</w:t>
      </w:r>
      <w:r w:rsidR="00DD793D" w:rsidRPr="00DD793D">
        <w:t xml:space="preserve"> </w:t>
      </w:r>
      <w:r w:rsidR="00DD793D">
        <w:t xml:space="preserve">Roger-Satchell and Yang-Zhang do not improve </w:t>
      </w:r>
      <w:r w:rsidR="00BA7530">
        <w:t>forecasts.</w:t>
      </w:r>
      <w:r w:rsidR="00DD793D">
        <w:t xml:space="preserve"> </w:t>
      </w:r>
      <w:r w:rsidR="004D502F">
        <w:t>In the case of FTSEMIB index, QLIKE and HMSE produce different results</w:t>
      </w:r>
      <w:r w:rsidR="00EC642A">
        <w:t xml:space="preserve">, although a </w:t>
      </w:r>
      <w:r w:rsidR="008F498B">
        <w:t>common result is that HAR-RV-ONV is the second</w:t>
      </w:r>
      <w:r w:rsidR="00EC642A">
        <w:t>-</w:t>
      </w:r>
      <w:r w:rsidR="008F498B">
        <w:t xml:space="preserve">best model </w:t>
      </w:r>
      <w:r w:rsidR="00EC642A">
        <w:t xml:space="preserve">on </w:t>
      </w:r>
      <w:r w:rsidR="008F498B">
        <w:t>both criteri</w:t>
      </w:r>
      <w:r w:rsidR="00EC642A">
        <w:t xml:space="preserve">a. This supports the view that the overnight variable can </w:t>
      </w:r>
      <w:r w:rsidR="00EE0378">
        <w:t xml:space="preserve">be considered an important variable. The QLIKE </w:t>
      </w:r>
      <w:r w:rsidR="00EC642A">
        <w:t xml:space="preserve">measure supports the </w:t>
      </w:r>
      <w:r w:rsidR="008F498B">
        <w:t>HAR-RV-CC and HAR-RV-ONV, whil</w:t>
      </w:r>
      <w:r w:rsidR="00EC642A">
        <w:t xml:space="preserve">e </w:t>
      </w:r>
      <w:r w:rsidR="00EE0378">
        <w:t>the</w:t>
      </w:r>
      <w:r w:rsidR="008F498B">
        <w:t xml:space="preserve"> range estimators are outperformed by the benchmark model. </w:t>
      </w:r>
      <w:r w:rsidR="00EC642A">
        <w:t>The</w:t>
      </w:r>
      <w:r w:rsidR="008F498B">
        <w:t xml:space="preserve"> HMSE criteria</w:t>
      </w:r>
      <w:r w:rsidR="008F498B" w:rsidRPr="008F498B">
        <w:t xml:space="preserve"> </w:t>
      </w:r>
      <w:r w:rsidR="00EC642A">
        <w:t xml:space="preserve">selects the </w:t>
      </w:r>
      <w:r w:rsidR="008F498B">
        <w:t>HAR-RV-GK</w:t>
      </w:r>
      <w:r w:rsidR="00EC642A">
        <w:t xml:space="preserve"> as the preferred model, while </w:t>
      </w:r>
      <w:r w:rsidR="008F498B">
        <w:t>HAR-RV-ONV and HAR-RV-YZ</w:t>
      </w:r>
      <w:r w:rsidR="00EE0378">
        <w:t xml:space="preserve"> </w:t>
      </w:r>
      <w:r w:rsidR="00EC642A">
        <w:t>are also supported</w:t>
      </w:r>
      <w:r w:rsidR="008F498B">
        <w:t>.</w:t>
      </w:r>
      <w:r w:rsidR="00E31E8C">
        <w:t xml:space="preserve"> </w:t>
      </w:r>
    </w:p>
    <w:p w14:paraId="0E42F2B9" w14:textId="34538347" w:rsidR="00D479EB" w:rsidRDefault="00EC642A" w:rsidP="0034066F">
      <w:pPr>
        <w:widowControl w:val="0"/>
        <w:spacing w:line="480" w:lineRule="auto"/>
        <w:ind w:firstLine="720"/>
        <w:jc w:val="both"/>
      </w:pPr>
      <w:r>
        <w:t>The</w:t>
      </w:r>
      <w:r w:rsidR="005C4BC7">
        <w:t xml:space="preserve"> results </w:t>
      </w:r>
      <w:r>
        <w:t xml:space="preserve">for the </w:t>
      </w:r>
      <w:r w:rsidR="005C4BC7">
        <w:t xml:space="preserve">NIKKEI index indicate that </w:t>
      </w:r>
      <w:r>
        <w:t xml:space="preserve">the </w:t>
      </w:r>
      <w:r w:rsidR="005C4BC7">
        <w:t>HAR-RV-CC model outperforms other</w:t>
      </w:r>
      <w:r>
        <w:t xml:space="preserve"> model</w:t>
      </w:r>
      <w:r w:rsidR="005C4BC7">
        <w:t xml:space="preserve">s </w:t>
      </w:r>
      <w:r>
        <w:t xml:space="preserve">across </w:t>
      </w:r>
      <w:r w:rsidR="005C4BC7">
        <w:t xml:space="preserve">both loss functions. However, </w:t>
      </w:r>
      <w:r>
        <w:t xml:space="preserve">the ranking set of </w:t>
      </w:r>
      <w:r w:rsidR="005C4BC7">
        <w:t>NIKKEI</w:t>
      </w:r>
      <w:r w:rsidR="00EE0378">
        <w:t xml:space="preserve"> results</w:t>
      </w:r>
      <w:r w:rsidR="005C4BC7">
        <w:t xml:space="preserve"> is inconclusive</w:t>
      </w:r>
      <w:r w:rsidR="008500F2">
        <w:t xml:space="preserve">. </w:t>
      </w:r>
      <w:r w:rsidR="008500F2">
        <w:lastRenderedPageBreak/>
        <w:t>For example,</w:t>
      </w:r>
      <w:r w:rsidR="005C4BC7">
        <w:t xml:space="preserve"> </w:t>
      </w:r>
      <w:r>
        <w:t xml:space="preserve">the </w:t>
      </w:r>
      <w:r w:rsidR="005C4BC7">
        <w:t xml:space="preserve">QLIKE </w:t>
      </w:r>
      <w:r>
        <w:t xml:space="preserve">also </w:t>
      </w:r>
      <w:r w:rsidR="005C4BC7">
        <w:t>favour</w:t>
      </w:r>
      <w:r>
        <w:t>s</w:t>
      </w:r>
      <w:r w:rsidR="005C4BC7">
        <w:t xml:space="preserve"> the HAR-RV model</w:t>
      </w:r>
      <w:r w:rsidR="008500F2">
        <w:t xml:space="preserve">, </w:t>
      </w:r>
      <w:r>
        <w:t xml:space="preserve">while </w:t>
      </w:r>
      <w:r w:rsidR="008500F2">
        <w:t xml:space="preserve">range estimators do not contain </w:t>
      </w:r>
      <w:r>
        <w:t xml:space="preserve">additional </w:t>
      </w:r>
      <w:r w:rsidR="008500F2">
        <w:t>information</w:t>
      </w:r>
      <w:r>
        <w:t xml:space="preserve">. The </w:t>
      </w:r>
      <w:r w:rsidR="005C4BC7">
        <w:t>HMSE</w:t>
      </w:r>
      <w:r>
        <w:t>, however,</w:t>
      </w:r>
      <w:r w:rsidR="005C4BC7">
        <w:t xml:space="preserve"> shows </w:t>
      </w:r>
      <w:r w:rsidR="008500F2">
        <w:t xml:space="preserve">that </w:t>
      </w:r>
      <w:r>
        <w:t xml:space="preserve">the </w:t>
      </w:r>
      <w:r w:rsidR="006649DC">
        <w:t xml:space="preserve">HAR-RV-CC and </w:t>
      </w:r>
      <w:r w:rsidR="005C4BC7">
        <w:t xml:space="preserve">HAR-RV-YZ </w:t>
      </w:r>
      <w:r w:rsidR="006649DC">
        <w:t>models</w:t>
      </w:r>
      <w:r w:rsidR="005C4BC7">
        <w:t xml:space="preserve"> </w:t>
      </w:r>
      <w:r w:rsidR="006649DC">
        <w:t>improve the forecasting accuracy compared to the benchmark model</w:t>
      </w:r>
      <w:r w:rsidR="005C4BC7">
        <w:t xml:space="preserve">. </w:t>
      </w:r>
      <w:proofErr w:type="gramStart"/>
      <w:r>
        <w:t>Similar to</w:t>
      </w:r>
      <w:proofErr w:type="gramEnd"/>
      <w:r>
        <w:t xml:space="preserve"> </w:t>
      </w:r>
      <w:r w:rsidR="008500F2">
        <w:t xml:space="preserve">the NIKKEI index, </w:t>
      </w:r>
      <w:r w:rsidR="00787804">
        <w:t xml:space="preserve">the best-performing </w:t>
      </w:r>
      <w:r w:rsidR="008500F2">
        <w:t>forecast</w:t>
      </w:r>
      <w:r>
        <w:t xml:space="preserve"> </w:t>
      </w:r>
      <w:r w:rsidR="00787804">
        <w:t>models</w:t>
      </w:r>
      <w:r w:rsidR="008500F2">
        <w:t xml:space="preserve"> </w:t>
      </w:r>
      <w:r>
        <w:t xml:space="preserve">for the </w:t>
      </w:r>
      <w:r w:rsidR="008500F2">
        <w:t xml:space="preserve">SPX index also </w:t>
      </w:r>
      <w:r>
        <w:t>differ</w:t>
      </w:r>
      <w:r w:rsidR="00C216B5">
        <w:t>s</w:t>
      </w:r>
      <w:r>
        <w:t xml:space="preserve"> across </w:t>
      </w:r>
      <w:r w:rsidR="008500F2">
        <w:t>loss function.</w:t>
      </w:r>
      <w:r w:rsidR="00787804">
        <w:t xml:space="preserve"> </w:t>
      </w:r>
      <w:r>
        <w:t xml:space="preserve">The </w:t>
      </w:r>
      <w:r w:rsidR="00787804">
        <w:t>QLIKE suggests HAR-RV-ONV as the best</w:t>
      </w:r>
      <w:r w:rsidR="006649DC">
        <w:t>-performing</w:t>
      </w:r>
      <w:r w:rsidR="00787804">
        <w:t xml:space="preserve"> forecasting model, followed by HAR-RV-PK, HAR-RV-YZ, and HAR-RV-GK models respectively. </w:t>
      </w:r>
      <w:r>
        <w:t xml:space="preserve">The model rankings based on </w:t>
      </w:r>
      <w:r w:rsidR="00787804">
        <w:t xml:space="preserve">HMSE </w:t>
      </w:r>
      <w:r>
        <w:t>support the</w:t>
      </w:r>
      <w:r w:rsidR="00787804">
        <w:t xml:space="preserve"> HAR-RV-PK, HAR-RV-GK, HAR-RV-RS, and HAR-RV-YZ respectively.</w:t>
      </w:r>
      <w:r w:rsidR="006649DC">
        <w:t xml:space="preserve"> </w:t>
      </w:r>
    </w:p>
    <w:p w14:paraId="54671217" w14:textId="0D1CAE35" w:rsidR="003963D0" w:rsidRDefault="00E843A0" w:rsidP="0034066F">
      <w:pPr>
        <w:widowControl w:val="0"/>
        <w:spacing w:line="480" w:lineRule="auto"/>
        <w:ind w:firstLine="720"/>
        <w:jc w:val="both"/>
      </w:pPr>
      <w:r>
        <w:t>Taking an overview of the results, e</w:t>
      </w:r>
      <w:r w:rsidR="00220D0E">
        <w:t xml:space="preserve">ven though </w:t>
      </w:r>
      <w:r>
        <w:t>no single model dominates, we can provide some general comment. The inclusion of the overnight return</w:t>
      </w:r>
      <w:r w:rsidR="003963D0">
        <w:t xml:space="preserve"> improves the forecasts for CAC and DAX and is the preferred model. The inclusion of the overnight return is also the preferred model for SPX based on the QLIKE measure and is the second preferred model </w:t>
      </w:r>
      <w:r w:rsidR="00E337A8">
        <w:t xml:space="preserve">for </w:t>
      </w:r>
      <w:r w:rsidR="003963D0">
        <w:t>MIB and the third for NIKKE</w:t>
      </w:r>
      <w:r w:rsidR="0027305A">
        <w:t>I</w:t>
      </w:r>
      <w:r w:rsidR="003963D0">
        <w:t xml:space="preserve"> (QLIKE only). Thus, it is only for FTSE, that the forecast model that includes overnight volatility is ranked poorly. </w:t>
      </w:r>
      <w:r w:rsidR="0027305A">
        <w:t xml:space="preserve">The close-to-close volatility measure reports some success across the different markets. For example, its inclusion leads to the preferred forecast model for MIB and NIKKEI, second preferred for FTSE and third for CAC and DAX. However, it is not preferred for SPX. </w:t>
      </w:r>
    </w:p>
    <w:p w14:paraId="070B2D5D" w14:textId="1B60BF3A" w:rsidR="004E1482" w:rsidRDefault="004069A5" w:rsidP="0034066F">
      <w:pPr>
        <w:widowControl w:val="0"/>
        <w:spacing w:line="480" w:lineRule="auto"/>
        <w:ind w:firstLine="720"/>
        <w:jc w:val="both"/>
      </w:pPr>
      <w:r>
        <w:t xml:space="preserve">The </w:t>
      </w:r>
      <w:r w:rsidR="00220D0E">
        <w:t>inclusion of range estimators do</w:t>
      </w:r>
      <w:r>
        <w:t>es</w:t>
      </w:r>
      <w:r w:rsidR="00220D0E">
        <w:t xml:space="preserve"> not </w:t>
      </w:r>
      <w:r>
        <w:t>consistently receive support across the different markets. Although on an individual basis, there is some evidence that the</w:t>
      </w:r>
      <w:r w:rsidR="00220D0E">
        <w:t xml:space="preserve"> Parkinson and</w:t>
      </w:r>
      <w:r>
        <w:t xml:space="preserve"> </w:t>
      </w:r>
      <w:r w:rsidR="00220D0E">
        <w:t>Garman-</w:t>
      </w:r>
      <w:proofErr w:type="spellStart"/>
      <w:r w:rsidR="00220D0E">
        <w:t>Klass</w:t>
      </w:r>
      <w:proofErr w:type="spellEnd"/>
      <w:r w:rsidR="00220D0E">
        <w:t xml:space="preserve"> volatility estimators </w:t>
      </w:r>
      <w:r>
        <w:t xml:space="preserve">can improve forecasts over the </w:t>
      </w:r>
      <w:r w:rsidR="00220D0E">
        <w:t>plain HAR-RV model.</w:t>
      </w:r>
      <w:r>
        <w:t xml:space="preserve"> For the Parkinson variable, this provides the preferred model for FTSE using the QLIKE measure. For the Garman-</w:t>
      </w:r>
      <w:proofErr w:type="spellStart"/>
      <w:r>
        <w:t>Klass</w:t>
      </w:r>
      <w:proofErr w:type="spellEnd"/>
      <w:r>
        <w:t xml:space="preserve"> variable, this provides the preferred forecasts for MIB (HMSE measure) and a top three forecast for FTSE (QLIKE measure), MIB (QLIKE measure) and NIKKEI (HMSE measure). </w:t>
      </w:r>
      <w:r w:rsidR="00095CB2">
        <w:t xml:space="preserve">This also means that the more involved </w:t>
      </w:r>
      <w:r w:rsidR="00220D0E">
        <w:t>range estimators</w:t>
      </w:r>
      <w:r w:rsidR="00095CB2">
        <w:t xml:space="preserve">, </w:t>
      </w:r>
      <w:r w:rsidR="00220D0E">
        <w:t>Roger-Satchell and Yang-Zhang</w:t>
      </w:r>
      <w:r w:rsidR="00095CB2">
        <w:t>,</w:t>
      </w:r>
      <w:r w:rsidR="00220D0E">
        <w:t xml:space="preserve"> do</w:t>
      </w:r>
      <w:r w:rsidR="00095CB2">
        <w:t xml:space="preserve"> not </w:t>
      </w:r>
      <w:r w:rsidR="00220D0E">
        <w:t xml:space="preserve">contain new information for forecasting realized volatility. </w:t>
      </w:r>
      <w:r w:rsidR="00E337A8">
        <w:t xml:space="preserve">Moreover, </w:t>
      </w:r>
      <w:r w:rsidR="00095CB2">
        <w:lastRenderedPageBreak/>
        <w:t xml:space="preserve">the HAR-RV model is not a preferred model for any market, </w:t>
      </w:r>
      <w:r w:rsidR="004E1482">
        <w:t>a</w:t>
      </w:r>
      <w:r w:rsidR="001A5970">
        <w:t>l</w:t>
      </w:r>
      <w:r w:rsidR="004E1482">
        <w:t>though it does feature within the MCS several times.</w:t>
      </w:r>
    </w:p>
    <w:p w14:paraId="0BD64FAB" w14:textId="77777777" w:rsidR="00220D0E" w:rsidRDefault="00220D0E" w:rsidP="0034066F">
      <w:pPr>
        <w:widowControl w:val="0"/>
        <w:spacing w:line="480" w:lineRule="auto"/>
        <w:jc w:val="both"/>
      </w:pPr>
    </w:p>
    <w:p w14:paraId="37BAFE35" w14:textId="6E8C0D24" w:rsidR="005553ED" w:rsidRPr="004E1482" w:rsidRDefault="004E1482" w:rsidP="0034066F">
      <w:pPr>
        <w:widowControl w:val="0"/>
        <w:spacing w:line="480" w:lineRule="auto"/>
        <w:jc w:val="both"/>
        <w:rPr>
          <w:b/>
        </w:rPr>
      </w:pPr>
      <w:r w:rsidRPr="004E1482">
        <w:rPr>
          <w:b/>
        </w:rPr>
        <w:t>5. Summary and C</w:t>
      </w:r>
      <w:r w:rsidR="001A5970" w:rsidRPr="004E1482">
        <w:rPr>
          <w:b/>
        </w:rPr>
        <w:t>onclusion</w:t>
      </w:r>
      <w:r w:rsidRPr="004E1482">
        <w:rPr>
          <w:b/>
        </w:rPr>
        <w:t>.</w:t>
      </w:r>
    </w:p>
    <w:p w14:paraId="6EB5C2D8" w14:textId="731026C0" w:rsidR="004E1482" w:rsidRDefault="004E1482" w:rsidP="0034066F">
      <w:pPr>
        <w:widowControl w:val="0"/>
        <w:spacing w:line="480" w:lineRule="auto"/>
        <w:jc w:val="both"/>
      </w:pPr>
      <w:r>
        <w:t>W</w:t>
      </w:r>
      <w:r w:rsidR="001A5970">
        <w:t xml:space="preserve">e examine whether range estimators, derived from OHLC prices, contain important information for the future realized volatility in G7 stock markets. Including </w:t>
      </w:r>
      <w:r>
        <w:t>c</w:t>
      </w:r>
      <w:r w:rsidR="001A5970">
        <w:t xml:space="preserve">lose-to-close, </w:t>
      </w:r>
      <w:r>
        <w:t>o</w:t>
      </w:r>
      <w:r w:rsidR="001A5970">
        <w:t xml:space="preserve">vernight </w:t>
      </w:r>
      <w:r>
        <w:t>v</w:t>
      </w:r>
      <w:r w:rsidR="001A5970">
        <w:t>olatility, Parkinson, Garman-</w:t>
      </w:r>
      <w:proofErr w:type="spellStart"/>
      <w:r w:rsidR="001A5970">
        <w:t>Klass</w:t>
      </w:r>
      <w:proofErr w:type="spellEnd"/>
      <w:r w:rsidR="001A5970">
        <w:t xml:space="preserve">, Roger-Satchell, and Yang-Zhang estimators as an exogenous variable in the HAR-RV model, </w:t>
      </w:r>
      <w:r>
        <w:t xml:space="preserve">we consider whether </w:t>
      </w:r>
      <w:r w:rsidR="001A5970">
        <w:t xml:space="preserve">this </w:t>
      </w:r>
      <w:r>
        <w:t xml:space="preserve">improves volatility </w:t>
      </w:r>
      <w:r w:rsidR="001A5970">
        <w:t>forecast</w:t>
      </w:r>
      <w:r>
        <w:t xml:space="preserve">s </w:t>
      </w:r>
      <w:r w:rsidR="00934F97">
        <w:t xml:space="preserve">over </w:t>
      </w:r>
      <w:r>
        <w:t xml:space="preserve">a HAR-RV model using the QLIKE and HMSE metrics as well as the model confidence set approach that provides a statistical comparison of the different loss functions. </w:t>
      </w:r>
    </w:p>
    <w:p w14:paraId="0ECA1A1F" w14:textId="6739BD12" w:rsidR="00DE2BCE" w:rsidRDefault="001A5970" w:rsidP="0034066F">
      <w:pPr>
        <w:widowControl w:val="0"/>
        <w:spacing w:line="480" w:lineRule="auto"/>
        <w:ind w:firstLine="720"/>
        <w:jc w:val="both"/>
      </w:pPr>
      <w:r>
        <w:t xml:space="preserve">The results </w:t>
      </w:r>
      <w:r w:rsidR="002D3B6B">
        <w:t xml:space="preserve">provide </w:t>
      </w:r>
      <w:r>
        <w:t xml:space="preserve">several noteworthy points. </w:t>
      </w:r>
      <w:r w:rsidR="002D3B6B">
        <w:t>There is no single model that is preferred across all markets. However, the inclusion of the overnight return</w:t>
      </w:r>
      <w:r w:rsidR="00934F97">
        <w:t xml:space="preserve"> volatility </w:t>
      </w:r>
      <w:r w:rsidR="002D3B6B">
        <w:t xml:space="preserve">is preferred for CAC and DAX and SPX on the QLIKE measure. It is also a top three preferred measure for MIB and NIKKEI. Only for FTSE, does the inclusion of overnight </w:t>
      </w:r>
      <w:r w:rsidR="00934F97">
        <w:t xml:space="preserve">volatility </w:t>
      </w:r>
      <w:proofErr w:type="gramStart"/>
      <w:r w:rsidR="002D3B6B">
        <w:t xml:space="preserve">not </w:t>
      </w:r>
      <w:r w:rsidR="00934F97">
        <w:t>improve</w:t>
      </w:r>
      <w:proofErr w:type="gramEnd"/>
      <w:r w:rsidR="00934F97">
        <w:t xml:space="preserve"> </w:t>
      </w:r>
      <w:r w:rsidR="002D3B6B">
        <w:t>forecast</w:t>
      </w:r>
      <w:r w:rsidR="00934F97">
        <w:t>s</w:t>
      </w:r>
      <w:r w:rsidR="002D3B6B">
        <w:t xml:space="preserve"> over the HAR-RV model. The addition of close-to-close volatility also provides notable forecast improvements for all series except the SPX. Moreover, it is preferred on the QLIKE measure for MIB and NIKKEI. Two of </w:t>
      </w:r>
      <w:r w:rsidR="00934F97">
        <w:t xml:space="preserve">the </w:t>
      </w:r>
      <w:r w:rsidR="002D3B6B">
        <w:t>more simpler range methods, the Parkinson and Garmin-</w:t>
      </w:r>
      <w:proofErr w:type="spellStart"/>
      <w:r w:rsidR="002D3B6B">
        <w:t>Klass</w:t>
      </w:r>
      <w:proofErr w:type="spellEnd"/>
      <w:r w:rsidR="00934F97">
        <w:t>,</w:t>
      </w:r>
      <w:r w:rsidR="002D3B6B">
        <w:t xml:space="preserve"> </w:t>
      </w:r>
      <w:r w:rsidR="000C48AB">
        <w:t>also provide some forecast success for some of the markets</w:t>
      </w:r>
      <w:r>
        <w:t xml:space="preserve">, </w:t>
      </w:r>
      <w:r w:rsidR="000C48AB">
        <w:t xml:space="preserve">i.e., the forecast model is top three in performance for at least one forecast measure for FTSE, </w:t>
      </w:r>
      <w:r w:rsidR="009849EA">
        <w:t>MIB</w:t>
      </w:r>
      <w:r w:rsidR="000C48AB">
        <w:t>,</w:t>
      </w:r>
      <w:r w:rsidR="009849EA">
        <w:t xml:space="preserve"> and NIKKEI. The </w:t>
      </w:r>
      <w:r>
        <w:t xml:space="preserve">HAR-RV model </w:t>
      </w:r>
      <w:r w:rsidR="00DE2BCE">
        <w:t xml:space="preserve">itself, however, does not provide the preferred </w:t>
      </w:r>
      <w:r>
        <w:t>forecast</w:t>
      </w:r>
      <w:r w:rsidR="00DE2BCE">
        <w:t xml:space="preserve"> for any market.</w:t>
      </w:r>
    </w:p>
    <w:p w14:paraId="3A1BF535" w14:textId="1BD84DBB" w:rsidR="00DE2BCE" w:rsidRDefault="00DE2BCE" w:rsidP="0034066F">
      <w:pPr>
        <w:widowControl w:val="0"/>
        <w:spacing w:line="480" w:lineRule="auto"/>
        <w:ind w:firstLine="720"/>
        <w:jc w:val="both"/>
      </w:pPr>
      <w:r>
        <w:t xml:space="preserve">The HAR-RV model has become the dominant volatility forecasting model. The results of this paper highlight that the inclusion of additional variables can improve that forecasting performance. </w:t>
      </w:r>
      <w:r w:rsidR="006A1C12">
        <w:t xml:space="preserve">Moreover, it is the relatively simple overnight volatility measure that </w:t>
      </w:r>
      <w:r w:rsidR="006A1C12">
        <w:lastRenderedPageBreak/>
        <w:t xml:space="preserve">consistently provides such an improvement for all but one market. Volatility forecasts are key ingredients into portfolio management, market timing strategies and derivate pricing, among other things, it is hope that the results here will be of use to investors as well as academics. </w:t>
      </w:r>
    </w:p>
    <w:p w14:paraId="741BA102" w14:textId="77777777" w:rsidR="00730BDD" w:rsidRDefault="00730BDD" w:rsidP="006C40AC">
      <w:pPr>
        <w:spacing w:line="480" w:lineRule="auto"/>
        <w:rPr>
          <w:b/>
        </w:rPr>
      </w:pPr>
      <w:r>
        <w:rPr>
          <w:b/>
        </w:rPr>
        <w:br w:type="page"/>
      </w:r>
    </w:p>
    <w:p w14:paraId="3564C8CE" w14:textId="62FCAE47" w:rsidR="00D74B57" w:rsidRPr="00730BDD" w:rsidRDefault="00EA4BCB" w:rsidP="00730BDD">
      <w:pPr>
        <w:rPr>
          <w:bCs/>
        </w:rPr>
      </w:pPr>
      <w:r w:rsidRPr="00730BDD">
        <w:rPr>
          <w:bCs/>
        </w:rPr>
        <w:lastRenderedPageBreak/>
        <w:t>References</w:t>
      </w:r>
    </w:p>
    <w:p w14:paraId="767855BC" w14:textId="77777777" w:rsidR="00EA4BCB" w:rsidRPr="00ED424F" w:rsidRDefault="00EA4BCB" w:rsidP="000A21CD">
      <w:pPr>
        <w:rPr>
          <w:b/>
        </w:rPr>
      </w:pPr>
    </w:p>
    <w:p w14:paraId="017DF168" w14:textId="35DD3D92" w:rsidR="00EA4BCB" w:rsidRPr="00ED424F" w:rsidRDefault="00EA4BCB" w:rsidP="000A21CD">
      <w:pPr>
        <w:jc w:val="both"/>
        <w:rPr>
          <w:rFonts w:ascii="Times New Roman" w:hAnsi="Times New Roman" w:cs="Times New Roman"/>
        </w:rPr>
      </w:pPr>
      <w:r w:rsidRPr="00ED424F">
        <w:rPr>
          <w:rFonts w:ascii="Times New Roman" w:hAnsi="Times New Roman" w:cs="Times New Roman"/>
        </w:rPr>
        <w:t xml:space="preserve">Andersen, T.G. </w:t>
      </w:r>
      <w:r w:rsidR="00CD3678">
        <w:rPr>
          <w:rFonts w:ascii="Times New Roman" w:hAnsi="Times New Roman" w:cs="Times New Roman"/>
        </w:rPr>
        <w:t xml:space="preserve">and </w:t>
      </w:r>
      <w:proofErr w:type="spellStart"/>
      <w:r w:rsidRPr="00ED424F">
        <w:rPr>
          <w:rFonts w:ascii="Times New Roman" w:hAnsi="Times New Roman" w:cs="Times New Roman"/>
        </w:rPr>
        <w:t>Bollerslev</w:t>
      </w:r>
      <w:proofErr w:type="spellEnd"/>
      <w:r w:rsidRPr="00ED424F">
        <w:rPr>
          <w:rFonts w:ascii="Times New Roman" w:hAnsi="Times New Roman" w:cs="Times New Roman"/>
        </w:rPr>
        <w:t xml:space="preserve">, T. (1998). Answering the </w:t>
      </w:r>
      <w:proofErr w:type="spellStart"/>
      <w:r w:rsidRPr="00ED424F">
        <w:rPr>
          <w:rFonts w:ascii="Times New Roman" w:hAnsi="Times New Roman" w:cs="Times New Roman"/>
        </w:rPr>
        <w:t>skeptics</w:t>
      </w:r>
      <w:proofErr w:type="spellEnd"/>
      <w:r w:rsidRPr="00ED424F">
        <w:rPr>
          <w:rFonts w:ascii="Times New Roman" w:hAnsi="Times New Roman" w:cs="Times New Roman"/>
        </w:rPr>
        <w:t xml:space="preserve">: Yes, standard volatility models do provide accurate forecasts. International Economic Review, 39, 885-905.  </w:t>
      </w:r>
    </w:p>
    <w:p w14:paraId="37A8A9F5" w14:textId="77777777" w:rsidR="000A21CD" w:rsidRPr="00ED424F" w:rsidRDefault="000A21CD" w:rsidP="00EA4BCB">
      <w:pPr>
        <w:pStyle w:val="NormalWeb"/>
        <w:jc w:val="both"/>
      </w:pPr>
    </w:p>
    <w:p w14:paraId="57A2C9AB" w14:textId="54F5809F" w:rsidR="00EA4BCB" w:rsidRPr="00ED424F" w:rsidRDefault="00EA4BCB" w:rsidP="00EA4BCB">
      <w:pPr>
        <w:pStyle w:val="NormalWeb"/>
        <w:jc w:val="both"/>
      </w:pPr>
      <w:r w:rsidRPr="00ED424F">
        <w:t xml:space="preserve">Andersen, T.G., </w:t>
      </w:r>
      <w:proofErr w:type="spellStart"/>
      <w:r w:rsidRPr="00ED424F">
        <w:t>Bollerslev</w:t>
      </w:r>
      <w:proofErr w:type="spellEnd"/>
      <w:r w:rsidRPr="00ED424F">
        <w:t>, T., Diebold, F.X.</w:t>
      </w:r>
      <w:r w:rsidR="00CD3678">
        <w:t xml:space="preserve"> and </w:t>
      </w:r>
      <w:proofErr w:type="spellStart"/>
      <w:r w:rsidRPr="00ED424F">
        <w:t>Labys</w:t>
      </w:r>
      <w:proofErr w:type="spellEnd"/>
      <w:r w:rsidRPr="00ED424F">
        <w:t xml:space="preserve">, P. (2003). Modelling and Forecasting Realized Volatility. </w:t>
      </w:r>
      <w:proofErr w:type="spellStart"/>
      <w:r w:rsidRPr="00ED424F">
        <w:t>Econometrica</w:t>
      </w:r>
      <w:proofErr w:type="spellEnd"/>
      <w:r w:rsidRPr="00ED424F">
        <w:t xml:space="preserve">, 71, 579-625. </w:t>
      </w:r>
    </w:p>
    <w:p w14:paraId="1B1F8961" w14:textId="77777777" w:rsidR="000231BB" w:rsidRPr="00ED424F" w:rsidRDefault="000231BB" w:rsidP="00EA4BCB">
      <w:pPr>
        <w:pStyle w:val="NormalWeb"/>
        <w:jc w:val="both"/>
      </w:pPr>
    </w:p>
    <w:p w14:paraId="23E60E87" w14:textId="69543B03" w:rsidR="000231BB" w:rsidRPr="00ED424F" w:rsidRDefault="000231BB" w:rsidP="00EA4BCB">
      <w:pPr>
        <w:pStyle w:val="NormalWeb"/>
        <w:jc w:val="both"/>
      </w:pPr>
      <w:r w:rsidRPr="00ED424F">
        <w:t>Bali, T.G.</w:t>
      </w:r>
      <w:r w:rsidR="00CD3678">
        <w:t xml:space="preserve"> and </w:t>
      </w:r>
      <w:r w:rsidRPr="00ED424F">
        <w:t>Weinbaum, D., (2005). A comparative study of alternative extreme-value volatility estimators. J</w:t>
      </w:r>
      <w:r w:rsidR="00CD3678">
        <w:t xml:space="preserve">ournal of </w:t>
      </w:r>
      <w:r w:rsidRPr="00ED424F">
        <w:t>Futures Markets</w:t>
      </w:r>
      <w:r w:rsidR="00CD3678">
        <w:t>,</w:t>
      </w:r>
      <w:r w:rsidRPr="00ED424F">
        <w:t xml:space="preserve"> 25, 873–892. </w:t>
      </w:r>
    </w:p>
    <w:p w14:paraId="4BC8250A" w14:textId="6A0CCA0D" w:rsidR="00EA4BCB" w:rsidRDefault="00EA4BCB" w:rsidP="00EA4BCB">
      <w:pPr>
        <w:spacing w:before="100" w:beforeAutospacing="1" w:after="100" w:afterAutospacing="1"/>
        <w:jc w:val="both"/>
        <w:rPr>
          <w:rFonts w:ascii="Times New Roman" w:hAnsi="Times New Roman" w:cs="Times New Roman"/>
        </w:rPr>
      </w:pPr>
      <w:proofErr w:type="spellStart"/>
      <w:r w:rsidRPr="00ED424F">
        <w:rPr>
          <w:rFonts w:ascii="Times New Roman" w:hAnsi="Times New Roman" w:cs="Times New Roman"/>
        </w:rPr>
        <w:t>Barndorff</w:t>
      </w:r>
      <w:proofErr w:type="spellEnd"/>
      <w:r w:rsidRPr="00ED424F">
        <w:rPr>
          <w:rFonts w:ascii="Times New Roman" w:hAnsi="Times New Roman" w:cs="Times New Roman"/>
        </w:rPr>
        <w:t xml:space="preserve">-Nielsen, O., S. </w:t>
      </w:r>
      <w:proofErr w:type="spellStart"/>
      <w:r w:rsidRPr="00ED424F">
        <w:rPr>
          <w:rFonts w:ascii="Times New Roman" w:hAnsi="Times New Roman" w:cs="Times New Roman"/>
        </w:rPr>
        <w:t>Kinnebrock</w:t>
      </w:r>
      <w:proofErr w:type="spellEnd"/>
      <w:r w:rsidRPr="00ED424F">
        <w:rPr>
          <w:rFonts w:ascii="Times New Roman" w:hAnsi="Times New Roman" w:cs="Times New Roman"/>
        </w:rPr>
        <w:t xml:space="preserve">, and N. Shephard. (2010). “Measuring Downside Risk: Realised Semi-variance.” In </w:t>
      </w:r>
      <w:r w:rsidRPr="00ED424F">
        <w:rPr>
          <w:rFonts w:ascii="Times New Roman" w:hAnsi="Times New Roman" w:cs="Times New Roman"/>
          <w:iCs/>
        </w:rPr>
        <w:t>Volatility and Time Series Econometrics: Essays in Honour of Robert F. Engle</w:t>
      </w:r>
      <w:r w:rsidRPr="00ED424F">
        <w:rPr>
          <w:rFonts w:ascii="Times New Roman" w:hAnsi="Times New Roman" w:cs="Times New Roman"/>
        </w:rPr>
        <w:t xml:space="preserve">, T. </w:t>
      </w:r>
      <w:proofErr w:type="spellStart"/>
      <w:r w:rsidRPr="00ED424F">
        <w:rPr>
          <w:rFonts w:ascii="Times New Roman" w:hAnsi="Times New Roman" w:cs="Times New Roman"/>
        </w:rPr>
        <w:t>Bollerslev</w:t>
      </w:r>
      <w:proofErr w:type="spellEnd"/>
      <w:r w:rsidRPr="00ED424F">
        <w:rPr>
          <w:rFonts w:ascii="Times New Roman" w:hAnsi="Times New Roman" w:cs="Times New Roman"/>
        </w:rPr>
        <w:t>, J. Russell, and M. Watson, eds. Oxford; New York: Oxford University Press, 117–136.</w:t>
      </w:r>
    </w:p>
    <w:p w14:paraId="105B34EE" w14:textId="6522BE83" w:rsidR="00664F8C" w:rsidRPr="00311157" w:rsidRDefault="00664F8C" w:rsidP="00664F8C">
      <w:pPr>
        <w:rPr>
          <w:rFonts w:ascii="Times" w:hAnsi="Times"/>
        </w:rPr>
      </w:pPr>
      <w:proofErr w:type="spellStart"/>
      <w:r w:rsidRPr="00311157">
        <w:rPr>
          <w:rFonts w:ascii="Times" w:hAnsi="Times"/>
        </w:rPr>
        <w:t>Bollerslev</w:t>
      </w:r>
      <w:proofErr w:type="spellEnd"/>
      <w:r w:rsidRPr="00311157">
        <w:rPr>
          <w:rFonts w:ascii="Times" w:hAnsi="Times"/>
        </w:rPr>
        <w:t xml:space="preserve">, T., Engle, R.F. and Nelson, D.B. (1994). Arch models. </w:t>
      </w:r>
      <w:r w:rsidRPr="00311157">
        <w:rPr>
          <w:rFonts w:ascii="Times" w:hAnsi="Times"/>
          <w:i/>
          <w:iCs/>
        </w:rPr>
        <w:t>Handb</w:t>
      </w:r>
      <w:r w:rsidR="00CD3678" w:rsidRPr="00311157">
        <w:rPr>
          <w:rFonts w:ascii="Times" w:hAnsi="Times"/>
          <w:i/>
          <w:iCs/>
        </w:rPr>
        <w:t>ook of</w:t>
      </w:r>
      <w:r w:rsidRPr="00311157">
        <w:rPr>
          <w:rFonts w:ascii="Times" w:hAnsi="Times"/>
          <w:i/>
          <w:iCs/>
        </w:rPr>
        <w:t xml:space="preserve"> Econ</w:t>
      </w:r>
      <w:r w:rsidR="00CD3678" w:rsidRPr="00311157">
        <w:rPr>
          <w:rFonts w:ascii="Times" w:hAnsi="Times"/>
          <w:i/>
          <w:iCs/>
        </w:rPr>
        <w:t>omics</w:t>
      </w:r>
      <w:r w:rsidRPr="00311157">
        <w:rPr>
          <w:rFonts w:ascii="Times" w:hAnsi="Times"/>
        </w:rPr>
        <w:t>,</w:t>
      </w:r>
      <w:r w:rsidR="00CD3678" w:rsidRPr="00311157">
        <w:rPr>
          <w:rFonts w:ascii="Times" w:hAnsi="Times"/>
        </w:rPr>
        <w:t xml:space="preserve"> </w:t>
      </w:r>
      <w:r w:rsidRPr="00311157">
        <w:rPr>
          <w:rFonts w:ascii="Times" w:hAnsi="Times"/>
          <w:bCs/>
        </w:rPr>
        <w:t>4</w:t>
      </w:r>
      <w:r w:rsidRPr="00311157">
        <w:rPr>
          <w:rFonts w:ascii="Times" w:hAnsi="Times"/>
        </w:rPr>
        <w:t>, 2959–3038.</w:t>
      </w:r>
      <w:r w:rsidRPr="00311157">
        <w:rPr>
          <w:rFonts w:ascii="Times" w:hAnsi="Times"/>
        </w:rPr>
        <w:br/>
      </w:r>
    </w:p>
    <w:p w14:paraId="07B04532" w14:textId="7322B432" w:rsidR="00664F8C" w:rsidRPr="00311157" w:rsidRDefault="00664F8C" w:rsidP="00664F8C">
      <w:pPr>
        <w:rPr>
          <w:rFonts w:ascii="Times" w:hAnsi="Times"/>
        </w:rPr>
      </w:pPr>
      <w:proofErr w:type="spellStart"/>
      <w:r w:rsidRPr="00311157">
        <w:rPr>
          <w:rFonts w:ascii="Times" w:hAnsi="Times"/>
        </w:rPr>
        <w:t>Bollerslev</w:t>
      </w:r>
      <w:proofErr w:type="spellEnd"/>
      <w:r w:rsidRPr="00311157">
        <w:rPr>
          <w:rFonts w:ascii="Times" w:hAnsi="Times"/>
        </w:rPr>
        <w:t>, T. and Ghysels, E. (1996). Periodic autoregressive conditional heteroscedasticity. J</w:t>
      </w:r>
      <w:r w:rsidR="00CD3678" w:rsidRPr="00311157">
        <w:rPr>
          <w:rFonts w:ascii="Times" w:hAnsi="Times"/>
        </w:rPr>
        <w:t xml:space="preserve">ournal of </w:t>
      </w:r>
      <w:r w:rsidRPr="00311157">
        <w:rPr>
          <w:rFonts w:ascii="Times" w:hAnsi="Times"/>
        </w:rPr>
        <w:t>Bus</w:t>
      </w:r>
      <w:r w:rsidR="00CD3678" w:rsidRPr="00311157">
        <w:rPr>
          <w:rFonts w:ascii="Times" w:hAnsi="Times"/>
        </w:rPr>
        <w:t xml:space="preserve">iness and </w:t>
      </w:r>
      <w:r w:rsidRPr="00311157">
        <w:rPr>
          <w:rFonts w:ascii="Times" w:hAnsi="Times"/>
        </w:rPr>
        <w:t>Econ</w:t>
      </w:r>
      <w:r w:rsidR="00CD3678" w:rsidRPr="00311157">
        <w:rPr>
          <w:rFonts w:ascii="Times" w:hAnsi="Times"/>
        </w:rPr>
        <w:t xml:space="preserve">omic </w:t>
      </w:r>
      <w:r w:rsidRPr="00311157">
        <w:rPr>
          <w:rFonts w:ascii="Times" w:hAnsi="Times"/>
        </w:rPr>
        <w:t>Stat</w:t>
      </w:r>
      <w:r w:rsidR="00CD3678" w:rsidRPr="00311157">
        <w:rPr>
          <w:rFonts w:ascii="Times" w:hAnsi="Times"/>
        </w:rPr>
        <w:t>istics</w:t>
      </w:r>
      <w:r w:rsidRPr="00311157">
        <w:rPr>
          <w:rFonts w:ascii="Times" w:hAnsi="Times"/>
        </w:rPr>
        <w:t xml:space="preserve">, </w:t>
      </w:r>
      <w:r w:rsidRPr="00311157">
        <w:rPr>
          <w:rFonts w:ascii="Times" w:hAnsi="Times"/>
          <w:bCs/>
        </w:rPr>
        <w:t>14</w:t>
      </w:r>
      <w:r w:rsidRPr="00311157">
        <w:rPr>
          <w:rFonts w:ascii="Times" w:hAnsi="Times"/>
        </w:rPr>
        <w:t xml:space="preserve">, 139–151. </w:t>
      </w:r>
    </w:p>
    <w:p w14:paraId="7AF020A8" w14:textId="6921C31E" w:rsidR="00401F76" w:rsidRPr="00311157" w:rsidRDefault="00401F76" w:rsidP="00664F8C">
      <w:pPr>
        <w:rPr>
          <w:rFonts w:ascii="Times" w:hAnsi="Times"/>
        </w:rPr>
      </w:pPr>
    </w:p>
    <w:p w14:paraId="4F4739ED" w14:textId="0921A4A9" w:rsidR="00401F76" w:rsidRPr="00311157" w:rsidRDefault="00401F76" w:rsidP="00401F76">
      <w:pPr>
        <w:autoSpaceDE w:val="0"/>
        <w:autoSpaceDN w:val="0"/>
        <w:adjustRightInd w:val="0"/>
        <w:rPr>
          <w:rFonts w:ascii="Times New Roman" w:hAnsi="Times New Roman" w:cs="Times New Roman"/>
        </w:rPr>
      </w:pPr>
      <w:r w:rsidRPr="00311157">
        <w:rPr>
          <w:rFonts w:ascii="Times New Roman" w:hAnsi="Times New Roman" w:cs="Times New Roman"/>
          <w:lang w:bidi="gu-IN"/>
        </w:rPr>
        <w:t xml:space="preserve">Brooks, C., Clare, A.D. and </w:t>
      </w:r>
      <w:proofErr w:type="spellStart"/>
      <w:r w:rsidRPr="00311157">
        <w:rPr>
          <w:rFonts w:ascii="Times New Roman" w:hAnsi="Times New Roman" w:cs="Times New Roman"/>
          <w:lang w:bidi="gu-IN"/>
        </w:rPr>
        <w:t>Persand</w:t>
      </w:r>
      <w:proofErr w:type="spellEnd"/>
      <w:r w:rsidRPr="00311157">
        <w:rPr>
          <w:rFonts w:ascii="Times New Roman" w:hAnsi="Times New Roman" w:cs="Times New Roman"/>
          <w:lang w:bidi="gu-IN"/>
        </w:rPr>
        <w:t>, G. (2000). A word of caution on calculating market-based minimum capital risk requirements. Journal of Banking and Finance,</w:t>
      </w:r>
      <w:r w:rsidRPr="00311157">
        <w:rPr>
          <w:rFonts w:ascii="Times New Roman" w:hAnsi="Times New Roman" w:cs="Times New Roman"/>
          <w:i/>
          <w:iCs/>
          <w:lang w:bidi="gu-IN"/>
        </w:rPr>
        <w:t xml:space="preserve"> </w:t>
      </w:r>
      <w:r w:rsidRPr="00311157">
        <w:rPr>
          <w:rFonts w:ascii="Times New Roman" w:hAnsi="Times New Roman" w:cs="Times New Roman"/>
          <w:lang w:bidi="gu-IN"/>
        </w:rPr>
        <w:t>24, 1557-1574.</w:t>
      </w:r>
    </w:p>
    <w:p w14:paraId="7C2BBE0F" w14:textId="06186077" w:rsidR="00664F8C" w:rsidRPr="00311157" w:rsidRDefault="00664F8C" w:rsidP="00664F8C">
      <w:pPr>
        <w:rPr>
          <w:rFonts w:ascii="Times" w:hAnsi="Times"/>
        </w:rPr>
      </w:pPr>
    </w:p>
    <w:p w14:paraId="703969C1" w14:textId="1069F19F" w:rsidR="00447645" w:rsidRPr="00311157" w:rsidRDefault="00447645" w:rsidP="00664F8C">
      <w:pPr>
        <w:rPr>
          <w:rFonts w:ascii="Times" w:hAnsi="Times"/>
        </w:rPr>
      </w:pPr>
      <w:r w:rsidRPr="00311157">
        <w:rPr>
          <w:rFonts w:ascii="Times" w:hAnsi="Times"/>
        </w:rPr>
        <w:t xml:space="preserve">Christensen, K. and </w:t>
      </w:r>
      <w:proofErr w:type="spellStart"/>
      <w:r w:rsidRPr="00311157">
        <w:rPr>
          <w:rFonts w:ascii="Times" w:hAnsi="Times"/>
        </w:rPr>
        <w:t>Podolskij</w:t>
      </w:r>
      <w:proofErr w:type="spellEnd"/>
      <w:r w:rsidRPr="00311157">
        <w:rPr>
          <w:rFonts w:ascii="Times" w:hAnsi="Times"/>
        </w:rPr>
        <w:t>, M. (2007). Realized range-based estimation of integrated variance. Journal of Econometrics, 141, 323–349.</w:t>
      </w:r>
    </w:p>
    <w:p w14:paraId="3513D850" w14:textId="1A8DF238" w:rsidR="00447645" w:rsidRPr="00311157" w:rsidRDefault="00447645" w:rsidP="00664F8C">
      <w:pPr>
        <w:rPr>
          <w:rFonts w:ascii="Times" w:hAnsi="Times"/>
        </w:rPr>
      </w:pPr>
    </w:p>
    <w:p w14:paraId="5291FD53" w14:textId="483D0F2B" w:rsidR="005B08A4" w:rsidRDefault="005B08A4" w:rsidP="00664F8C">
      <w:pPr>
        <w:rPr>
          <w:rFonts w:ascii="Times" w:hAnsi="Times"/>
        </w:rPr>
      </w:pPr>
      <w:r w:rsidRPr="00311157">
        <w:rPr>
          <w:rFonts w:ascii="Times" w:hAnsi="Times"/>
        </w:rPr>
        <w:t xml:space="preserve">Chou, R.Y. </w:t>
      </w:r>
      <w:r w:rsidR="005E5617" w:rsidRPr="00311157">
        <w:rPr>
          <w:rFonts w:ascii="Times" w:hAnsi="Times"/>
        </w:rPr>
        <w:t>(</w:t>
      </w:r>
      <w:r w:rsidRPr="00311157">
        <w:rPr>
          <w:rFonts w:ascii="Times" w:hAnsi="Times"/>
        </w:rPr>
        <w:t>2005</w:t>
      </w:r>
      <w:r w:rsidR="005E5617" w:rsidRPr="00311157">
        <w:rPr>
          <w:rFonts w:ascii="Times" w:hAnsi="Times"/>
        </w:rPr>
        <w:t>)</w:t>
      </w:r>
      <w:r w:rsidRPr="00311157">
        <w:rPr>
          <w:rFonts w:ascii="Times" w:hAnsi="Times"/>
        </w:rPr>
        <w:t>. Forecasting financial volatilities with extreme values: The conditional autoregressive range (CARR) model. Journal of Money, Credit, and Banking, 37, 561–582.</w:t>
      </w:r>
    </w:p>
    <w:p w14:paraId="54E7839A" w14:textId="77777777" w:rsidR="005B08A4" w:rsidRPr="00664F8C" w:rsidRDefault="005B08A4" w:rsidP="00664F8C">
      <w:pPr>
        <w:rPr>
          <w:rFonts w:ascii="Times" w:hAnsi="Times"/>
        </w:rPr>
      </w:pPr>
    </w:p>
    <w:p w14:paraId="5841BBDC" w14:textId="14EB2B0B" w:rsidR="00EA4BCB" w:rsidRPr="00ED424F" w:rsidRDefault="00EA4BCB" w:rsidP="00EA4BCB">
      <w:pPr>
        <w:pStyle w:val="NormalWeb"/>
        <w:jc w:val="both"/>
      </w:pPr>
      <w:proofErr w:type="spellStart"/>
      <w:r w:rsidRPr="00ED424F">
        <w:t>Corsi</w:t>
      </w:r>
      <w:proofErr w:type="spellEnd"/>
      <w:r w:rsidRPr="00ED424F">
        <w:t xml:space="preserve">, F. (2009). A simple approximate long-memory model of realized volatility. Journal of Financial Econometrics, 7, 174-196.  </w:t>
      </w:r>
    </w:p>
    <w:p w14:paraId="6CD0CED8" w14:textId="4D77AC7C" w:rsidR="00EA4BCB" w:rsidRPr="00ED424F" w:rsidRDefault="00EA4BCB" w:rsidP="00EA4BCB">
      <w:pPr>
        <w:spacing w:before="100" w:beforeAutospacing="1" w:after="100" w:afterAutospacing="1"/>
        <w:jc w:val="both"/>
        <w:rPr>
          <w:rFonts w:ascii="Times New Roman" w:hAnsi="Times New Roman" w:cs="Times New Roman"/>
        </w:rPr>
      </w:pPr>
      <w:proofErr w:type="spellStart"/>
      <w:r w:rsidRPr="00ED424F">
        <w:rPr>
          <w:rFonts w:ascii="Times New Roman" w:hAnsi="Times New Roman" w:cs="Times New Roman"/>
        </w:rPr>
        <w:t>Corsi</w:t>
      </w:r>
      <w:proofErr w:type="spellEnd"/>
      <w:r w:rsidRPr="00ED424F">
        <w:rPr>
          <w:rFonts w:ascii="Times New Roman" w:hAnsi="Times New Roman" w:cs="Times New Roman"/>
        </w:rPr>
        <w:t xml:space="preserve">, F. </w:t>
      </w:r>
      <w:r w:rsidR="005E5617">
        <w:rPr>
          <w:rFonts w:ascii="Times New Roman" w:hAnsi="Times New Roman" w:cs="Times New Roman"/>
        </w:rPr>
        <w:t xml:space="preserve">and </w:t>
      </w:r>
      <w:r w:rsidRPr="00ED424F">
        <w:rPr>
          <w:rFonts w:ascii="Times New Roman" w:hAnsi="Times New Roman" w:cs="Times New Roman"/>
        </w:rPr>
        <w:t xml:space="preserve">Renò, R. (2012). Discrete-time volatility forecasting with persistent leverage effect and the link with continuous-time volatility modelling. Journal of Business &amp; Economic Statistics, 30, 368-380. </w:t>
      </w:r>
    </w:p>
    <w:p w14:paraId="219C3233" w14:textId="5B895633" w:rsidR="00EA4BCB" w:rsidRPr="00ED424F" w:rsidRDefault="00EA4BCB" w:rsidP="00EA4BCB">
      <w:pPr>
        <w:pStyle w:val="NormalWeb"/>
        <w:jc w:val="both"/>
      </w:pPr>
      <w:proofErr w:type="spellStart"/>
      <w:r w:rsidRPr="00ED424F">
        <w:t>Degiannakis</w:t>
      </w:r>
      <w:proofErr w:type="spellEnd"/>
      <w:r w:rsidRPr="00ED424F">
        <w:t>, S.</w:t>
      </w:r>
      <w:r w:rsidR="005E5617">
        <w:t xml:space="preserve"> and </w:t>
      </w:r>
      <w:r w:rsidRPr="00ED424F">
        <w:t>Filis, G. (2017). Forecasting oil price realized volatility using information channels from other asset classes</w:t>
      </w:r>
      <w:r w:rsidR="005E5617">
        <w:t xml:space="preserve">. </w:t>
      </w:r>
      <w:r w:rsidRPr="00ED424F">
        <w:t>J</w:t>
      </w:r>
      <w:r w:rsidR="005E5617">
        <w:t xml:space="preserve">ournal of </w:t>
      </w:r>
      <w:r w:rsidRPr="00ED424F">
        <w:t>Int</w:t>
      </w:r>
      <w:r w:rsidR="005E5617">
        <w:t xml:space="preserve">ernational </w:t>
      </w:r>
      <w:r w:rsidRPr="00ED424F">
        <w:t xml:space="preserve">Money </w:t>
      </w:r>
      <w:r w:rsidR="005E5617">
        <w:t xml:space="preserve">and </w:t>
      </w:r>
      <w:r w:rsidRPr="00ED424F">
        <w:t>Finance</w:t>
      </w:r>
      <w:r w:rsidR="005E5617">
        <w:t>,</w:t>
      </w:r>
      <w:r w:rsidRPr="00ED424F">
        <w:t xml:space="preserve"> 76, 28–49. </w:t>
      </w:r>
    </w:p>
    <w:p w14:paraId="003EA094" w14:textId="77777777" w:rsidR="000231BB" w:rsidRPr="00ED424F" w:rsidRDefault="000231BB" w:rsidP="00EA4BCB">
      <w:pPr>
        <w:pStyle w:val="NormalWeb"/>
        <w:jc w:val="both"/>
      </w:pPr>
    </w:p>
    <w:p w14:paraId="7DA2FD44" w14:textId="34DF9573" w:rsidR="000231BB" w:rsidRPr="00ED424F" w:rsidRDefault="000231BB" w:rsidP="00EA4BCB">
      <w:pPr>
        <w:pStyle w:val="NormalWeb"/>
        <w:jc w:val="both"/>
      </w:pPr>
      <w:r w:rsidRPr="00ED424F">
        <w:t>Garman, M.B.</w:t>
      </w:r>
      <w:r w:rsidR="005E5617">
        <w:t xml:space="preserve"> and </w:t>
      </w:r>
      <w:proofErr w:type="spellStart"/>
      <w:r w:rsidRPr="00ED424F">
        <w:t>Klass</w:t>
      </w:r>
      <w:proofErr w:type="spellEnd"/>
      <w:r w:rsidRPr="00ED424F">
        <w:t>, M.J. (1980). On the estimation of security price volatilities from historical data. J</w:t>
      </w:r>
      <w:r w:rsidR="005E5617">
        <w:t xml:space="preserve">ournal of </w:t>
      </w:r>
      <w:r w:rsidRPr="00ED424F">
        <w:t>Bus</w:t>
      </w:r>
      <w:r w:rsidR="005E5617">
        <w:t>iness,</w:t>
      </w:r>
      <w:r w:rsidRPr="00ED424F">
        <w:t xml:space="preserve"> 53, 67–78.</w:t>
      </w:r>
    </w:p>
    <w:p w14:paraId="70DB200C" w14:textId="77777777" w:rsidR="00EA4BCB" w:rsidRPr="00ED424F" w:rsidRDefault="00EA4BCB" w:rsidP="00EA4BCB">
      <w:pPr>
        <w:pStyle w:val="NormalWeb"/>
        <w:jc w:val="both"/>
      </w:pPr>
    </w:p>
    <w:p w14:paraId="21696ED0" w14:textId="7C84E73D" w:rsidR="00EA4BCB" w:rsidRPr="00ED424F" w:rsidRDefault="00EA4BCB" w:rsidP="00EA4BCB">
      <w:pPr>
        <w:pStyle w:val="NormalWeb"/>
        <w:jc w:val="both"/>
      </w:pPr>
      <w:r w:rsidRPr="00ED424F">
        <w:t xml:space="preserve">Hansen, P.R., Lunde, </w:t>
      </w:r>
      <w:r w:rsidR="005E5617">
        <w:t xml:space="preserve">A. </w:t>
      </w:r>
      <w:r w:rsidRPr="00ED424F">
        <w:t xml:space="preserve">and </w:t>
      </w:r>
      <w:proofErr w:type="spellStart"/>
      <w:r w:rsidRPr="00ED424F">
        <w:t>Nason</w:t>
      </w:r>
      <w:proofErr w:type="spellEnd"/>
      <w:r w:rsidR="005E5617">
        <w:t>, J.M.</w:t>
      </w:r>
      <w:r w:rsidRPr="00ED424F">
        <w:t xml:space="preserve"> (2003). Choosing the best volatility models: The Model Confidence Set Approach. Oxford Bulletin of Economics and Statistics, 65</w:t>
      </w:r>
      <w:r w:rsidR="005E5617">
        <w:t>,</w:t>
      </w:r>
      <w:r w:rsidRPr="00ED424F">
        <w:t xml:space="preserve"> 839–861. </w:t>
      </w:r>
    </w:p>
    <w:p w14:paraId="64CCDE2D" w14:textId="2007AFD4" w:rsidR="00EA4BCB" w:rsidRDefault="00EA4BCB" w:rsidP="00EA4BCB">
      <w:pPr>
        <w:pStyle w:val="NormalWeb"/>
        <w:jc w:val="both"/>
      </w:pPr>
    </w:p>
    <w:p w14:paraId="61F10951" w14:textId="4416474A" w:rsidR="001E2A2A" w:rsidRPr="00ED424F" w:rsidRDefault="001E2A2A" w:rsidP="00EA4BCB">
      <w:pPr>
        <w:pStyle w:val="NormalWeb"/>
        <w:jc w:val="both"/>
      </w:pPr>
      <w:proofErr w:type="spellStart"/>
      <w:r w:rsidRPr="001E2A2A">
        <w:t>Hol</w:t>
      </w:r>
      <w:proofErr w:type="spellEnd"/>
      <w:r w:rsidRPr="001E2A2A">
        <w:t xml:space="preserve"> E</w:t>
      </w:r>
      <w:r>
        <w:t xml:space="preserve">. and </w:t>
      </w:r>
      <w:r w:rsidRPr="001E2A2A">
        <w:t>Koopman S</w:t>
      </w:r>
      <w:r>
        <w:t>.</w:t>
      </w:r>
      <w:r w:rsidRPr="001E2A2A">
        <w:t xml:space="preserve">J. </w:t>
      </w:r>
      <w:r>
        <w:t>(</w:t>
      </w:r>
      <w:r w:rsidRPr="001E2A2A">
        <w:t>2002</w:t>
      </w:r>
      <w:r>
        <w:t>)</w:t>
      </w:r>
      <w:r w:rsidRPr="001E2A2A">
        <w:t>. Stock index volatility forecasting with high frequency data. Manuscript, Department of Econometrics, Free University of Amsterdam.</w:t>
      </w:r>
    </w:p>
    <w:p w14:paraId="22746287" w14:textId="25B9C337" w:rsidR="00EA4BCB" w:rsidRDefault="00EA4BCB" w:rsidP="00EA4BCB">
      <w:pPr>
        <w:pStyle w:val="NormalWeb"/>
        <w:jc w:val="both"/>
      </w:pPr>
      <w:proofErr w:type="spellStart"/>
      <w:r w:rsidRPr="00ED424F">
        <w:lastRenderedPageBreak/>
        <w:t>Kambouroudis</w:t>
      </w:r>
      <w:proofErr w:type="spellEnd"/>
      <w:r w:rsidRPr="00ED424F">
        <w:t>, D.S., McMillan, D.G.</w:t>
      </w:r>
      <w:r w:rsidR="005E5617">
        <w:t xml:space="preserve"> and </w:t>
      </w:r>
      <w:proofErr w:type="spellStart"/>
      <w:r w:rsidRPr="00ED424F">
        <w:t>Tsakou</w:t>
      </w:r>
      <w:proofErr w:type="spellEnd"/>
      <w:r w:rsidRPr="00ED424F">
        <w:t>, K. (2021). Forecasting realized volatility: The role of implied volatility, leverage effect, overnight returns, and volatility of realized volatility.</w:t>
      </w:r>
      <w:r w:rsidRPr="005E5617">
        <w:t> Journal of Futures Markets, 41,</w:t>
      </w:r>
      <w:r w:rsidRPr="00ED424F">
        <w:t xml:space="preserve"> 1618-1639. </w:t>
      </w:r>
    </w:p>
    <w:p w14:paraId="6282ECF2" w14:textId="77777777" w:rsidR="001E2A2A" w:rsidRPr="00ED424F" w:rsidRDefault="001E2A2A" w:rsidP="00EA4BCB">
      <w:pPr>
        <w:pStyle w:val="NormalWeb"/>
        <w:jc w:val="both"/>
      </w:pPr>
    </w:p>
    <w:p w14:paraId="7E2CD702" w14:textId="68ED323C" w:rsidR="00545899" w:rsidRPr="00311157" w:rsidRDefault="00545899" w:rsidP="00545899">
      <w:pPr>
        <w:pStyle w:val="NormalWeb"/>
        <w:jc w:val="both"/>
      </w:pPr>
      <w:r w:rsidRPr="00311157">
        <w:t xml:space="preserve">Liu, J., Ma, F. and Zhang, Y. (2019), Forecasting the Chinese stock volatility across global stock markets. </w:t>
      </w:r>
      <w:proofErr w:type="spellStart"/>
      <w:r w:rsidRPr="00311157">
        <w:t>Physica</w:t>
      </w:r>
      <w:proofErr w:type="spellEnd"/>
      <w:r w:rsidRPr="00311157">
        <w:t xml:space="preserve"> A, 525, 466-477.</w:t>
      </w:r>
    </w:p>
    <w:p w14:paraId="75311A86" w14:textId="77777777" w:rsidR="00545899" w:rsidRPr="00311157" w:rsidRDefault="00545899" w:rsidP="00545899">
      <w:pPr>
        <w:pStyle w:val="NormalWeb"/>
        <w:jc w:val="both"/>
      </w:pPr>
    </w:p>
    <w:p w14:paraId="65F4AA62" w14:textId="38CF278B" w:rsidR="000231BB" w:rsidRPr="00311157" w:rsidRDefault="00545899" w:rsidP="00545899">
      <w:pPr>
        <w:pStyle w:val="NormalWeb"/>
        <w:jc w:val="both"/>
      </w:pPr>
      <w:r w:rsidRPr="00311157">
        <w:t>Liu, L.Y., Patton, A.J. and Sheppard, K. (2015). Does anything beat 5‐minute RV? A comparison of realized measures across multiple asset classes. Journal of Econometrics, 187, 293–311.</w:t>
      </w:r>
    </w:p>
    <w:p w14:paraId="7C6EF823" w14:textId="57E149B4" w:rsidR="00545899" w:rsidRPr="00311157" w:rsidRDefault="00545899" w:rsidP="00545899">
      <w:pPr>
        <w:pStyle w:val="NormalWeb"/>
        <w:jc w:val="both"/>
      </w:pPr>
    </w:p>
    <w:p w14:paraId="78D571ED" w14:textId="1260A0DB" w:rsidR="001E2A2A" w:rsidRPr="00311157" w:rsidRDefault="001E2A2A" w:rsidP="001E2A2A">
      <w:pPr>
        <w:pStyle w:val="NormalWeb"/>
        <w:jc w:val="both"/>
      </w:pPr>
      <w:r w:rsidRPr="00311157">
        <w:t>Martens, M. (2001), Forecasting daily exchange return volatility using intraday returns. Journal of International Money and Finance, 20, 1-23</w:t>
      </w:r>
    </w:p>
    <w:p w14:paraId="501461A7" w14:textId="77777777" w:rsidR="001E2A2A" w:rsidRPr="00311157" w:rsidRDefault="001E2A2A" w:rsidP="001E2A2A">
      <w:pPr>
        <w:pStyle w:val="NormalWeb"/>
        <w:jc w:val="both"/>
      </w:pPr>
    </w:p>
    <w:p w14:paraId="114E3748" w14:textId="2924DBFE" w:rsidR="00447645" w:rsidRPr="00311157" w:rsidRDefault="00447645" w:rsidP="00EA4BCB">
      <w:pPr>
        <w:pStyle w:val="NormalWeb"/>
        <w:jc w:val="both"/>
      </w:pPr>
      <w:r w:rsidRPr="00311157">
        <w:t>Martens, M. and van Dijk, D. (2007). Measuring volatility with the realized range. Journal of Econometrics, 138, 181–207.</w:t>
      </w:r>
    </w:p>
    <w:p w14:paraId="69E62492" w14:textId="77777777" w:rsidR="00447645" w:rsidRPr="00311157" w:rsidRDefault="00447645" w:rsidP="00EA4BCB">
      <w:pPr>
        <w:pStyle w:val="NormalWeb"/>
        <w:jc w:val="both"/>
      </w:pPr>
    </w:p>
    <w:p w14:paraId="76396D88" w14:textId="4F48D32A" w:rsidR="000231BB" w:rsidRPr="00ED424F" w:rsidRDefault="000231BB" w:rsidP="00EA4BCB">
      <w:pPr>
        <w:pStyle w:val="NormalWeb"/>
        <w:jc w:val="both"/>
      </w:pPr>
      <w:r w:rsidRPr="00311157">
        <w:t xml:space="preserve">Molnar, P. (2012). </w:t>
      </w:r>
      <w:r w:rsidR="005E5617" w:rsidRPr="00311157">
        <w:t>P</w:t>
      </w:r>
      <w:r w:rsidRPr="00311157">
        <w:t>roperties of range-based</w:t>
      </w:r>
      <w:r w:rsidRPr="00ED424F">
        <w:t xml:space="preserve"> volatility estimators. Int</w:t>
      </w:r>
      <w:r w:rsidR="005E5617">
        <w:t xml:space="preserve">ernational </w:t>
      </w:r>
      <w:r w:rsidRPr="00ED424F">
        <w:t>Rev</w:t>
      </w:r>
      <w:r w:rsidR="005E5617">
        <w:t xml:space="preserve">iew of </w:t>
      </w:r>
      <w:r w:rsidRPr="00ED424F">
        <w:t>Financ</w:t>
      </w:r>
      <w:r w:rsidR="005E5617">
        <w:t>ial A</w:t>
      </w:r>
      <w:r w:rsidRPr="00ED424F">
        <w:t>nal</w:t>
      </w:r>
      <w:r w:rsidR="005E5617">
        <w:t xml:space="preserve">ysis, </w:t>
      </w:r>
      <w:r w:rsidRPr="00ED424F">
        <w:t>23, 20–29.</w:t>
      </w:r>
    </w:p>
    <w:p w14:paraId="142BE4E2" w14:textId="77777777" w:rsidR="000231BB" w:rsidRPr="00ED424F" w:rsidRDefault="000231BB" w:rsidP="00EA4BCB">
      <w:pPr>
        <w:pStyle w:val="NormalWeb"/>
        <w:jc w:val="both"/>
      </w:pPr>
    </w:p>
    <w:p w14:paraId="72F869EC" w14:textId="45B5EF3E" w:rsidR="000231BB" w:rsidRPr="00ED424F" w:rsidRDefault="000231BB" w:rsidP="00EA4BCB">
      <w:pPr>
        <w:pStyle w:val="NormalWeb"/>
        <w:jc w:val="both"/>
      </w:pPr>
      <w:r w:rsidRPr="00ED424F">
        <w:t>Parkinson, M. (1980). The extreme value method for estimating the variance of the rate of return. J</w:t>
      </w:r>
      <w:r w:rsidR="005E5617">
        <w:t xml:space="preserve">ournal of </w:t>
      </w:r>
      <w:r w:rsidRPr="00ED424F">
        <w:t>Bus</w:t>
      </w:r>
      <w:r w:rsidR="005E5617">
        <w:t xml:space="preserve">iness, </w:t>
      </w:r>
      <w:r w:rsidRPr="00ED424F">
        <w:t>53, 61–65.</w:t>
      </w:r>
    </w:p>
    <w:p w14:paraId="2DBFB25A" w14:textId="77777777" w:rsidR="000A21CD" w:rsidRPr="00ED424F" w:rsidRDefault="000A21CD" w:rsidP="000A21CD">
      <w:pPr>
        <w:jc w:val="both"/>
        <w:rPr>
          <w:rFonts w:ascii="Times New Roman" w:eastAsia="Times New Roman" w:hAnsi="Times New Roman" w:cs="Times New Roman"/>
        </w:rPr>
      </w:pPr>
    </w:p>
    <w:p w14:paraId="3F0468F0" w14:textId="7CAEAD11" w:rsidR="000231BB" w:rsidRPr="00ED424F" w:rsidRDefault="000231BB" w:rsidP="000A21CD">
      <w:pPr>
        <w:jc w:val="both"/>
        <w:rPr>
          <w:rFonts w:ascii="Times New Roman" w:eastAsia="Times New Roman" w:hAnsi="Times New Roman" w:cs="Times New Roman"/>
        </w:rPr>
      </w:pPr>
      <w:r w:rsidRPr="00ED424F">
        <w:rPr>
          <w:rFonts w:ascii="Times New Roman" w:eastAsia="Times New Roman" w:hAnsi="Times New Roman" w:cs="Times New Roman"/>
        </w:rPr>
        <w:t xml:space="preserve">Patton, A. J. (2011). Volatility forecast comparison using imperfect volatility proxies. Journal of Econometrics, 160, 246-256. </w:t>
      </w:r>
    </w:p>
    <w:p w14:paraId="273A8FBD" w14:textId="77777777" w:rsidR="00EA4BCB" w:rsidRPr="00ED424F" w:rsidRDefault="00EA4BCB" w:rsidP="00EA4BCB">
      <w:pPr>
        <w:pStyle w:val="NormalWeb"/>
        <w:jc w:val="both"/>
      </w:pPr>
    </w:p>
    <w:p w14:paraId="0CA90341" w14:textId="050C8D16" w:rsidR="00EA4BCB" w:rsidRPr="00ED424F" w:rsidRDefault="00EA4BCB" w:rsidP="00EA4BCB">
      <w:pPr>
        <w:pStyle w:val="NormalWeb"/>
        <w:jc w:val="both"/>
      </w:pPr>
      <w:r w:rsidRPr="00ED424F">
        <w:t>Peng, H., Chen, R., Mei, D.</w:t>
      </w:r>
      <w:r w:rsidR="005E5617">
        <w:t xml:space="preserve"> and </w:t>
      </w:r>
      <w:proofErr w:type="spellStart"/>
      <w:r w:rsidRPr="00ED424F">
        <w:t>Diao</w:t>
      </w:r>
      <w:proofErr w:type="spellEnd"/>
      <w:r w:rsidRPr="00ED424F">
        <w:t xml:space="preserve">, X. (2018) Forecasting the realized volatility of the Chinese stock market: Do the G7 stock markets help? </w:t>
      </w:r>
      <w:proofErr w:type="spellStart"/>
      <w:r w:rsidRPr="00ED424F">
        <w:t>Physica</w:t>
      </w:r>
      <w:proofErr w:type="spellEnd"/>
      <w:r w:rsidRPr="00ED424F">
        <w:t xml:space="preserve"> A, 501, 78–85. </w:t>
      </w:r>
    </w:p>
    <w:p w14:paraId="4AEE93ED" w14:textId="2C859B9D" w:rsidR="000231BB" w:rsidRDefault="000231BB" w:rsidP="00EA4BCB">
      <w:pPr>
        <w:pStyle w:val="NormalWeb"/>
        <w:jc w:val="both"/>
      </w:pPr>
    </w:p>
    <w:p w14:paraId="1CAF94AD" w14:textId="63DC004B" w:rsidR="00D415F7" w:rsidRDefault="00D415F7" w:rsidP="00EA4BCB">
      <w:pPr>
        <w:pStyle w:val="NormalWeb"/>
        <w:jc w:val="both"/>
      </w:pPr>
      <w:proofErr w:type="spellStart"/>
      <w:r w:rsidRPr="00311157">
        <w:rPr>
          <w:rStyle w:val="author"/>
        </w:rPr>
        <w:t>Petneházi</w:t>
      </w:r>
      <w:proofErr w:type="spellEnd"/>
      <w:r w:rsidRPr="00311157">
        <w:rPr>
          <w:rStyle w:val="author"/>
        </w:rPr>
        <w:t xml:space="preserve">, G. and </w:t>
      </w:r>
      <w:proofErr w:type="spellStart"/>
      <w:r w:rsidRPr="00311157">
        <w:rPr>
          <w:rStyle w:val="author"/>
        </w:rPr>
        <w:t>Gáll</w:t>
      </w:r>
      <w:proofErr w:type="spellEnd"/>
      <w:r w:rsidRPr="00311157">
        <w:rPr>
          <w:rStyle w:val="author"/>
        </w:rPr>
        <w:t>, J, (2019)</w:t>
      </w:r>
      <w:r w:rsidRPr="00311157">
        <w:t xml:space="preserve">. </w:t>
      </w:r>
      <w:r w:rsidRPr="00311157">
        <w:rPr>
          <w:rStyle w:val="articletitle"/>
        </w:rPr>
        <w:t>Exploring the predictability of range-based volatility estimators using recurrent neural networks</w:t>
      </w:r>
      <w:r w:rsidRPr="00311157">
        <w:t xml:space="preserve">. Intelligent Systems in Accounting Finance and Management, </w:t>
      </w:r>
      <w:r w:rsidRPr="00311157">
        <w:rPr>
          <w:rStyle w:val="vol"/>
        </w:rPr>
        <w:t xml:space="preserve">26, </w:t>
      </w:r>
      <w:r w:rsidRPr="00311157">
        <w:rPr>
          <w:rStyle w:val="pagefirst"/>
        </w:rPr>
        <w:t>109-</w:t>
      </w:r>
      <w:r w:rsidRPr="00311157">
        <w:rPr>
          <w:rStyle w:val="pagelast"/>
        </w:rPr>
        <w:t>116</w:t>
      </w:r>
      <w:r w:rsidRPr="00311157">
        <w:t>.</w:t>
      </w:r>
    </w:p>
    <w:p w14:paraId="490C8AD4" w14:textId="53C8E331" w:rsidR="00D415F7" w:rsidRDefault="00D415F7" w:rsidP="00EA4BCB">
      <w:pPr>
        <w:pStyle w:val="NormalWeb"/>
        <w:jc w:val="both"/>
      </w:pPr>
    </w:p>
    <w:p w14:paraId="5CC0C27D" w14:textId="35D70628" w:rsidR="001E2A2A" w:rsidRDefault="001E2A2A" w:rsidP="00EA4BCB">
      <w:pPr>
        <w:pStyle w:val="NormalWeb"/>
        <w:jc w:val="both"/>
      </w:pPr>
      <w:r w:rsidRPr="001E2A2A">
        <w:t>Raju</w:t>
      </w:r>
      <w:r>
        <w:t xml:space="preserve">, K. and </w:t>
      </w:r>
      <w:proofErr w:type="spellStart"/>
      <w:r w:rsidRPr="001E2A2A">
        <w:t>Rangaswamy</w:t>
      </w:r>
      <w:proofErr w:type="spellEnd"/>
      <w:r>
        <w:t>, S.</w:t>
      </w:r>
      <w:r w:rsidRPr="001E2A2A">
        <w:t xml:space="preserve"> (2017)</w:t>
      </w:r>
      <w:r>
        <w:t>.</w:t>
      </w:r>
      <w:r w:rsidRPr="001E2A2A">
        <w:t xml:space="preserve"> Forecasting volatility in the Indian equity market using return and range-based models</w:t>
      </w:r>
      <w:r>
        <w:t xml:space="preserve">. </w:t>
      </w:r>
      <w:r w:rsidRPr="001E2A2A">
        <w:t>Applied Economics, 49, 5027-5039</w:t>
      </w:r>
      <w:r>
        <w:t>.</w:t>
      </w:r>
    </w:p>
    <w:p w14:paraId="67957F1C" w14:textId="77777777" w:rsidR="001E2A2A" w:rsidRPr="00ED424F" w:rsidRDefault="001E2A2A" w:rsidP="00EA4BCB">
      <w:pPr>
        <w:pStyle w:val="NormalWeb"/>
        <w:jc w:val="both"/>
      </w:pPr>
    </w:p>
    <w:p w14:paraId="3DADD798" w14:textId="3A4F862A" w:rsidR="000231BB" w:rsidRPr="00ED424F" w:rsidRDefault="000231BB" w:rsidP="00EA4BCB">
      <w:pPr>
        <w:pStyle w:val="NormalWeb"/>
        <w:jc w:val="both"/>
      </w:pPr>
      <w:r w:rsidRPr="00ED424F">
        <w:t>Rogers, L.C.G., Satchell, S.E. (1991). Estimating variance from high, low, and closing Prices. Ann</w:t>
      </w:r>
      <w:r w:rsidR="005E5617">
        <w:t xml:space="preserve">als of </w:t>
      </w:r>
      <w:r w:rsidRPr="00ED424F">
        <w:t>Appl</w:t>
      </w:r>
      <w:r w:rsidR="005E5617">
        <w:t xml:space="preserve">ied </w:t>
      </w:r>
      <w:r w:rsidRPr="00ED424F">
        <w:t>Probab</w:t>
      </w:r>
      <w:r w:rsidR="005E5617">
        <w:t>ility,</w:t>
      </w:r>
      <w:r w:rsidRPr="00ED424F">
        <w:t xml:space="preserve"> 1, 504–512.</w:t>
      </w:r>
    </w:p>
    <w:p w14:paraId="5134BCA8" w14:textId="77777777" w:rsidR="000231BB" w:rsidRPr="00ED424F" w:rsidRDefault="000231BB" w:rsidP="00EA4BCB">
      <w:pPr>
        <w:pStyle w:val="NormalWeb"/>
        <w:jc w:val="both"/>
      </w:pPr>
    </w:p>
    <w:p w14:paraId="6F365C15" w14:textId="17DAC0BE" w:rsidR="000231BB" w:rsidRPr="00ED424F" w:rsidRDefault="000231BB" w:rsidP="00EA4BCB">
      <w:pPr>
        <w:pStyle w:val="NormalWeb"/>
        <w:jc w:val="both"/>
      </w:pPr>
      <w:r w:rsidRPr="00ED424F">
        <w:t>Todorova, N.</w:t>
      </w:r>
      <w:r w:rsidR="005E5617">
        <w:t xml:space="preserve"> and </w:t>
      </w:r>
      <w:proofErr w:type="spellStart"/>
      <w:r w:rsidRPr="00ED424F">
        <w:t>Husmann</w:t>
      </w:r>
      <w:proofErr w:type="spellEnd"/>
      <w:r w:rsidRPr="00ED424F">
        <w:t>, S. (2012). A comparative study of range-based stock return volatility estimators for the German market. J</w:t>
      </w:r>
      <w:r w:rsidR="005E5617">
        <w:t xml:space="preserve">ournal of </w:t>
      </w:r>
      <w:r w:rsidRPr="00ED424F">
        <w:t xml:space="preserve">Futures Markets 32, 560–586. </w:t>
      </w:r>
    </w:p>
    <w:p w14:paraId="137796C8" w14:textId="77777777" w:rsidR="00EA4BCB" w:rsidRPr="00ED424F" w:rsidRDefault="00EA4BCB" w:rsidP="00EA4BCB"/>
    <w:p w14:paraId="6DE02196" w14:textId="02895EDA" w:rsidR="00EA4BCB" w:rsidRDefault="00EA4BCB" w:rsidP="00EA4BCB">
      <w:pPr>
        <w:pStyle w:val="NormalWeb"/>
        <w:jc w:val="both"/>
      </w:pPr>
      <w:r w:rsidRPr="00ED424F">
        <w:t xml:space="preserve">Wang, H. (2019). VIX and volatility forecasting: A new insight. </w:t>
      </w:r>
      <w:proofErr w:type="spellStart"/>
      <w:r w:rsidRPr="00ED424F">
        <w:t>Physica</w:t>
      </w:r>
      <w:proofErr w:type="spellEnd"/>
      <w:r w:rsidRPr="00ED424F">
        <w:t xml:space="preserve"> A, 533, 121951.</w:t>
      </w:r>
    </w:p>
    <w:p w14:paraId="6B0889D7" w14:textId="42DEC800" w:rsidR="00D415F7" w:rsidRDefault="00D415F7" w:rsidP="00EA4BCB">
      <w:pPr>
        <w:pStyle w:val="NormalWeb"/>
        <w:jc w:val="both"/>
      </w:pPr>
    </w:p>
    <w:p w14:paraId="77AB9205" w14:textId="22927001" w:rsidR="00545899" w:rsidRDefault="00545899" w:rsidP="00545899">
      <w:pPr>
        <w:pStyle w:val="NormalWeb"/>
        <w:jc w:val="both"/>
      </w:pPr>
      <w:r>
        <w:t xml:space="preserve">Wang, X., Wu, C. and Xu, W. (2015). Volatility forecasting: The role of </w:t>
      </w:r>
      <w:proofErr w:type="gramStart"/>
      <w:r>
        <w:t>lunch‐break</w:t>
      </w:r>
      <w:proofErr w:type="gramEnd"/>
      <w:r>
        <w:t xml:space="preserve"> returns, overnight returns, trading volume and leverage effects. International Journal of Forecasting, 31, 609–619.</w:t>
      </w:r>
    </w:p>
    <w:p w14:paraId="283D0594" w14:textId="77777777" w:rsidR="00545899" w:rsidRDefault="00545899" w:rsidP="00545899">
      <w:pPr>
        <w:pStyle w:val="NormalWeb"/>
        <w:jc w:val="both"/>
      </w:pPr>
    </w:p>
    <w:p w14:paraId="43A21A7A" w14:textId="293D937A" w:rsidR="00D415F7" w:rsidRPr="00311157" w:rsidRDefault="00D415F7" w:rsidP="00D415F7">
      <w:pPr>
        <w:rPr>
          <w:rFonts w:ascii="Times New Roman" w:eastAsia="Times New Roman" w:hAnsi="Times New Roman" w:cs="Times New Roman"/>
          <w:lang w:eastAsia="en-GB" w:bidi="gu-IN"/>
        </w:rPr>
      </w:pPr>
      <w:r w:rsidRPr="00311157">
        <w:rPr>
          <w:rFonts w:ascii="Times New Roman" w:eastAsia="Times New Roman" w:hAnsi="Times New Roman" w:cs="Times New Roman"/>
          <w:lang w:eastAsia="en-GB" w:bidi="gu-IN"/>
        </w:rPr>
        <w:lastRenderedPageBreak/>
        <w:t xml:space="preserve">Wu, C.-C. and Xu, W. (2022), Volatility forecasting using intraday information with the </w:t>
      </w:r>
      <w:r w:rsidR="00CD3678" w:rsidRPr="00311157">
        <w:rPr>
          <w:rFonts w:ascii="Times New Roman" w:eastAsia="Times New Roman" w:hAnsi="Times New Roman" w:cs="Times New Roman"/>
          <w:lang w:eastAsia="en-GB" w:bidi="gu-IN"/>
        </w:rPr>
        <w:t xml:space="preserve"> C</w:t>
      </w:r>
      <w:r w:rsidRPr="00311157">
        <w:rPr>
          <w:rFonts w:ascii="Times New Roman" w:eastAsia="Times New Roman" w:hAnsi="Times New Roman" w:cs="Times New Roman"/>
          <w:lang w:eastAsia="en-GB" w:bidi="gu-IN"/>
        </w:rPr>
        <w:t>ARR models for the China stock markets, Asia-Pacific Journal of Accounting &amp;</w:t>
      </w:r>
      <w:r w:rsidR="00CD3678" w:rsidRPr="00311157">
        <w:rPr>
          <w:rFonts w:ascii="Times New Roman" w:eastAsia="Times New Roman" w:hAnsi="Times New Roman" w:cs="Times New Roman"/>
          <w:lang w:eastAsia="en-GB" w:bidi="gu-IN"/>
        </w:rPr>
        <w:t xml:space="preserve"> </w:t>
      </w:r>
      <w:r w:rsidRPr="00311157">
        <w:rPr>
          <w:rFonts w:ascii="Times New Roman" w:eastAsia="Times New Roman" w:hAnsi="Times New Roman" w:cs="Times New Roman"/>
          <w:lang w:eastAsia="en-GB" w:bidi="gu-IN"/>
        </w:rPr>
        <w:t xml:space="preserve">Economics, </w:t>
      </w:r>
      <w:proofErr w:type="spellStart"/>
      <w:r w:rsidR="00CD3678" w:rsidRPr="00311157">
        <w:rPr>
          <w:rFonts w:ascii="Times New Roman" w:eastAsia="Times New Roman" w:hAnsi="Times New Roman" w:cs="Times New Roman"/>
          <w:lang w:eastAsia="en-GB" w:bidi="gu-IN"/>
        </w:rPr>
        <w:t>doi</w:t>
      </w:r>
      <w:proofErr w:type="spellEnd"/>
      <w:r w:rsidRPr="00311157">
        <w:rPr>
          <w:rFonts w:ascii="Times New Roman" w:eastAsia="Times New Roman" w:hAnsi="Times New Roman" w:cs="Times New Roman"/>
          <w:lang w:eastAsia="en-GB" w:bidi="gu-IN"/>
        </w:rPr>
        <w:t xml:space="preserve">: </w:t>
      </w:r>
      <w:hyperlink r:id="rId8" w:history="1">
        <w:r w:rsidRPr="00311157">
          <w:rPr>
            <w:rFonts w:ascii="Times New Roman" w:eastAsia="Times New Roman" w:hAnsi="Times New Roman" w:cs="Times New Roman"/>
            <w:color w:val="0000FF"/>
            <w:u w:val="single"/>
            <w:lang w:eastAsia="en-GB" w:bidi="gu-IN"/>
          </w:rPr>
          <w:t>10.1080/16081625.2022.2054435</w:t>
        </w:r>
      </w:hyperlink>
      <w:r w:rsidRPr="00311157">
        <w:rPr>
          <w:rFonts w:ascii="Times New Roman" w:eastAsia="Times New Roman" w:hAnsi="Times New Roman" w:cs="Times New Roman"/>
          <w:lang w:eastAsia="en-GB" w:bidi="gu-IN"/>
        </w:rPr>
        <w:t xml:space="preserve"> </w:t>
      </w:r>
    </w:p>
    <w:p w14:paraId="4A757AC4" w14:textId="3505D4A3" w:rsidR="000231BB" w:rsidRPr="00311157" w:rsidRDefault="000231BB" w:rsidP="00EA4BCB">
      <w:pPr>
        <w:pStyle w:val="NormalWeb"/>
        <w:jc w:val="both"/>
      </w:pPr>
    </w:p>
    <w:p w14:paraId="3BBB3FBE" w14:textId="39E8358C" w:rsidR="005B08A4" w:rsidRPr="00311157" w:rsidRDefault="005B08A4" w:rsidP="00EA4BCB">
      <w:pPr>
        <w:pStyle w:val="NormalWeb"/>
        <w:jc w:val="both"/>
      </w:pPr>
      <w:proofErr w:type="spellStart"/>
      <w:r w:rsidRPr="00311157">
        <w:t>Xie</w:t>
      </w:r>
      <w:proofErr w:type="spellEnd"/>
      <w:r w:rsidRPr="00311157">
        <w:t xml:space="preserve">, H. 2018. Financial volatility </w:t>
      </w:r>
      <w:proofErr w:type="spellStart"/>
      <w:r w:rsidRPr="00311157">
        <w:t>modeling</w:t>
      </w:r>
      <w:proofErr w:type="spellEnd"/>
      <w:r w:rsidRPr="00311157">
        <w:t>: The feedback asymmetric conditional autoregressive range model. Journal of Forecasting, 38, 11–28.</w:t>
      </w:r>
    </w:p>
    <w:p w14:paraId="17B9DDBB" w14:textId="77777777" w:rsidR="005B08A4" w:rsidRPr="00311157" w:rsidRDefault="005B08A4" w:rsidP="00EA4BCB">
      <w:pPr>
        <w:pStyle w:val="NormalWeb"/>
        <w:jc w:val="both"/>
      </w:pPr>
    </w:p>
    <w:p w14:paraId="17F39409" w14:textId="3DB5E8DE" w:rsidR="000231BB" w:rsidRPr="00ED424F" w:rsidRDefault="000231BB" w:rsidP="00EA4BCB">
      <w:pPr>
        <w:pStyle w:val="NormalWeb"/>
        <w:jc w:val="both"/>
      </w:pPr>
      <w:r w:rsidRPr="00311157">
        <w:t>Yang, D.</w:t>
      </w:r>
      <w:r w:rsidR="005E5617" w:rsidRPr="00311157">
        <w:t xml:space="preserve"> and </w:t>
      </w:r>
      <w:r w:rsidRPr="00311157">
        <w:t>Zhang, Q. (2000). Drift independent volatility estimation based on</w:t>
      </w:r>
      <w:r w:rsidRPr="00ED424F">
        <w:t xml:space="preserve"> high, low, open and closes prices. J</w:t>
      </w:r>
      <w:r w:rsidR="005E5617">
        <w:t xml:space="preserve">ournal of </w:t>
      </w:r>
      <w:r w:rsidRPr="00ED424F">
        <w:t>Bus</w:t>
      </w:r>
      <w:r w:rsidR="005E5617">
        <w:t xml:space="preserve">iness, </w:t>
      </w:r>
      <w:r w:rsidRPr="00ED424F">
        <w:t xml:space="preserve">73, 477–491. </w:t>
      </w:r>
    </w:p>
    <w:p w14:paraId="7682E725" w14:textId="77777777" w:rsidR="00EA4BCB" w:rsidRPr="00ED424F" w:rsidRDefault="00EA4BCB" w:rsidP="00EA4BCB">
      <w:pPr>
        <w:pStyle w:val="NormalWeb"/>
        <w:jc w:val="both"/>
      </w:pPr>
    </w:p>
    <w:p w14:paraId="16EA7A65" w14:textId="4788DF33" w:rsidR="00EA4BCB" w:rsidRPr="00ED424F" w:rsidRDefault="00EA4BCB" w:rsidP="00EA4BCB">
      <w:pPr>
        <w:pStyle w:val="NormalWeb"/>
        <w:jc w:val="both"/>
      </w:pPr>
      <w:r w:rsidRPr="00ED424F">
        <w:t>Yang, M.J. and Liu.</w:t>
      </w:r>
      <w:r w:rsidR="005E5617">
        <w:t xml:space="preserve"> M.-Y.</w:t>
      </w:r>
      <w:r w:rsidRPr="00ED424F">
        <w:t> (2012). The Forecasting Power of the Volatility Index in Emerging Markets: Evidence from the Taiwan Stock Market. </w:t>
      </w:r>
      <w:r w:rsidRPr="005E5617">
        <w:t>International Journal of Economics and Finance</w:t>
      </w:r>
      <w:r w:rsidR="005E5617">
        <w:t>,</w:t>
      </w:r>
      <w:r w:rsidRPr="00ED424F">
        <w:t> 4</w:t>
      </w:r>
      <w:r w:rsidR="005E5617">
        <w:t>,</w:t>
      </w:r>
      <w:r w:rsidRPr="00ED424F">
        <w:t> 217–231.</w:t>
      </w:r>
    </w:p>
    <w:p w14:paraId="3C662339" w14:textId="77777777" w:rsidR="00EA4BCB" w:rsidRPr="00ED424F" w:rsidRDefault="00EA4BCB" w:rsidP="00EA4BCB"/>
    <w:p w14:paraId="356213D4" w14:textId="6F38E7D3" w:rsidR="000231BB" w:rsidRPr="00ED424F" w:rsidRDefault="000231BB" w:rsidP="000231BB">
      <w:pPr>
        <w:rPr>
          <w:rFonts w:ascii="Times" w:hAnsi="Times"/>
        </w:rPr>
      </w:pPr>
      <w:proofErr w:type="spellStart"/>
      <w:r w:rsidRPr="00ED424F">
        <w:rPr>
          <w:rFonts w:ascii="Times" w:hAnsi="Times"/>
        </w:rPr>
        <w:t>Yarovaya</w:t>
      </w:r>
      <w:proofErr w:type="spellEnd"/>
      <w:r w:rsidRPr="00ED424F">
        <w:rPr>
          <w:rFonts w:ascii="Times" w:hAnsi="Times"/>
        </w:rPr>
        <w:t xml:space="preserve">, L., </w:t>
      </w:r>
      <w:proofErr w:type="spellStart"/>
      <w:r w:rsidRPr="00ED424F">
        <w:rPr>
          <w:rFonts w:ascii="Times" w:hAnsi="Times"/>
        </w:rPr>
        <w:t>Brzeczczynski</w:t>
      </w:r>
      <w:proofErr w:type="spellEnd"/>
      <w:r w:rsidRPr="00ED424F">
        <w:rPr>
          <w:rFonts w:ascii="Times" w:hAnsi="Times"/>
        </w:rPr>
        <w:t>, J.</w:t>
      </w:r>
      <w:r w:rsidR="005E5617">
        <w:rPr>
          <w:rFonts w:ascii="Times" w:hAnsi="Times"/>
        </w:rPr>
        <w:t xml:space="preserve"> and </w:t>
      </w:r>
      <w:r w:rsidRPr="00ED424F">
        <w:rPr>
          <w:rFonts w:ascii="Times" w:hAnsi="Times"/>
        </w:rPr>
        <w:t xml:space="preserve">Lau, C.K.M. (2016). Volatility </w:t>
      </w:r>
      <w:proofErr w:type="spellStart"/>
      <w:r w:rsidRPr="00ED424F">
        <w:rPr>
          <w:rFonts w:ascii="Times" w:hAnsi="Times"/>
        </w:rPr>
        <w:t>spillovers</w:t>
      </w:r>
      <w:proofErr w:type="spellEnd"/>
      <w:r w:rsidRPr="00ED424F">
        <w:rPr>
          <w:rFonts w:ascii="Times" w:hAnsi="Times"/>
        </w:rPr>
        <w:t xml:space="preserve"> across stock index futures in Asian markets: evidence from range volatility estimators. Finance Res</w:t>
      </w:r>
      <w:r w:rsidR="006A377E">
        <w:rPr>
          <w:rFonts w:ascii="Times" w:hAnsi="Times"/>
        </w:rPr>
        <w:t>earch</w:t>
      </w:r>
      <w:r w:rsidRPr="00ED424F">
        <w:rPr>
          <w:rFonts w:ascii="Times" w:hAnsi="Times"/>
        </w:rPr>
        <w:t xml:space="preserve"> Lett</w:t>
      </w:r>
      <w:r w:rsidR="006A377E">
        <w:rPr>
          <w:rFonts w:ascii="Times" w:hAnsi="Times"/>
        </w:rPr>
        <w:t xml:space="preserve">ers, </w:t>
      </w:r>
      <w:r w:rsidRPr="00ED424F">
        <w:rPr>
          <w:rFonts w:ascii="Times" w:hAnsi="Times"/>
        </w:rPr>
        <w:t xml:space="preserve">17, 158–166. </w:t>
      </w:r>
    </w:p>
    <w:p w14:paraId="0E9F88DB" w14:textId="77777777" w:rsidR="000231BB" w:rsidRPr="00DD5C16" w:rsidRDefault="000231BB" w:rsidP="00EA4BCB">
      <w:pPr>
        <w:rPr>
          <w:rFonts w:ascii="Times New Roman" w:hAnsi="Times New Roman" w:cs="Times New Roman"/>
        </w:rPr>
      </w:pPr>
    </w:p>
    <w:p w14:paraId="2349390C" w14:textId="35B91BD4" w:rsidR="000A21CD" w:rsidRPr="00664F8C" w:rsidRDefault="00DD5C16">
      <w:pPr>
        <w:rPr>
          <w:rFonts w:ascii="Times" w:hAnsi="Times"/>
        </w:rPr>
      </w:pPr>
      <w:r w:rsidRPr="00311157">
        <w:rPr>
          <w:rFonts w:ascii="Times New Roman" w:hAnsi="Times New Roman" w:cs="Times New Roman"/>
          <w:lang w:bidi="gu-IN"/>
        </w:rPr>
        <w:t>Zhang, Y., Ma, F. and Liao, Y. (2020). Forecasting global equity market volatilities. International Journal of Forecasting, 36, 1454</w:t>
      </w:r>
      <w:r w:rsidRPr="00311157">
        <w:rPr>
          <w:rFonts w:ascii="Times New Roman" w:eastAsia="AdvOTee460ee4+20" w:hAnsi="Times New Roman" w:cs="Times New Roman"/>
          <w:lang w:bidi="gu-IN"/>
        </w:rPr>
        <w:t>–</w:t>
      </w:r>
      <w:r w:rsidRPr="00311157">
        <w:rPr>
          <w:rFonts w:ascii="Times New Roman" w:hAnsi="Times New Roman" w:cs="Times New Roman"/>
          <w:lang w:bidi="gu-IN"/>
        </w:rPr>
        <w:t>1475.</w:t>
      </w:r>
      <w:r w:rsidR="000A21CD" w:rsidRPr="00664F8C">
        <w:rPr>
          <w:rFonts w:ascii="Times" w:hAnsi="Times"/>
        </w:rPr>
        <w:br w:type="page"/>
      </w:r>
    </w:p>
    <w:p w14:paraId="79315777" w14:textId="77777777" w:rsidR="000A21CD" w:rsidRDefault="000A21CD" w:rsidP="000A21CD"/>
    <w:tbl>
      <w:tblPr>
        <w:tblStyle w:val="PlainTable3"/>
        <w:tblW w:w="9356" w:type="dxa"/>
        <w:tblInd w:w="-142" w:type="dxa"/>
        <w:tblLayout w:type="fixed"/>
        <w:tblLook w:val="04A0" w:firstRow="1" w:lastRow="0" w:firstColumn="1" w:lastColumn="0" w:noHBand="0" w:noVBand="1"/>
      </w:tblPr>
      <w:tblGrid>
        <w:gridCol w:w="1161"/>
        <w:gridCol w:w="966"/>
        <w:gridCol w:w="1134"/>
        <w:gridCol w:w="992"/>
        <w:gridCol w:w="1165"/>
        <w:gridCol w:w="1528"/>
        <w:gridCol w:w="1276"/>
        <w:gridCol w:w="1134"/>
      </w:tblGrid>
      <w:tr w:rsidR="000A21CD" w14:paraId="60DAE78B" w14:textId="77777777" w:rsidTr="006D69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6" w:type="dxa"/>
            <w:gridSpan w:val="8"/>
          </w:tcPr>
          <w:p w14:paraId="4B1E34C3" w14:textId="77777777" w:rsidR="000A21CD" w:rsidRPr="00F06A4C" w:rsidRDefault="000A21CD" w:rsidP="006D69F3">
            <w:pPr>
              <w:jc w:val="both"/>
              <w:rPr>
                <w:b w:val="0"/>
                <w:bCs w:val="0"/>
                <w:caps w:val="0"/>
                <w:sz w:val="21"/>
                <w:szCs w:val="21"/>
              </w:rPr>
            </w:pPr>
            <w:r w:rsidRPr="0072212F">
              <w:rPr>
                <w:sz w:val="21"/>
                <w:szCs w:val="21"/>
              </w:rPr>
              <w:t xml:space="preserve">Table 1: </w:t>
            </w:r>
            <w:r w:rsidRPr="0072212F">
              <w:rPr>
                <w:i/>
                <w:sz w:val="21"/>
                <w:szCs w:val="21"/>
              </w:rPr>
              <w:t xml:space="preserve">Descriptive statistics of </w:t>
            </w:r>
            <w:r>
              <w:rPr>
                <w:i/>
                <w:sz w:val="21"/>
                <w:szCs w:val="21"/>
              </w:rPr>
              <w:t>G7 DATA (RETURN, RANGE, AND 5-MIN RV SERIES)</w:t>
            </w:r>
            <w:r w:rsidRPr="0072212F">
              <w:rPr>
                <w:sz w:val="21"/>
                <w:szCs w:val="21"/>
              </w:rPr>
              <w:t xml:space="preserve"> </w:t>
            </w:r>
          </w:p>
        </w:tc>
      </w:tr>
      <w:tr w:rsidR="000A21CD" w14:paraId="1AD7456B"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48F19D02" w14:textId="77777777" w:rsidR="000A21CD" w:rsidRPr="00F06A4C" w:rsidRDefault="000A21CD" w:rsidP="006D69F3">
            <w:pPr>
              <w:jc w:val="both"/>
              <w:rPr>
                <w:i/>
                <w:sz w:val="21"/>
                <w:szCs w:val="21"/>
              </w:rPr>
            </w:pPr>
            <w:r>
              <w:rPr>
                <w:i/>
                <w:sz w:val="21"/>
                <w:szCs w:val="21"/>
                <w:u w:val="single"/>
              </w:rPr>
              <w:t>RETURN</w:t>
            </w:r>
          </w:p>
        </w:tc>
        <w:tc>
          <w:tcPr>
            <w:tcW w:w="966" w:type="dxa"/>
          </w:tcPr>
          <w:p w14:paraId="78212393"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b/>
                <w:sz w:val="21"/>
                <w:szCs w:val="21"/>
              </w:rPr>
            </w:pPr>
            <w:r w:rsidRPr="00F06A4C">
              <w:rPr>
                <w:b/>
                <w:sz w:val="21"/>
                <w:szCs w:val="21"/>
              </w:rPr>
              <w:t xml:space="preserve">  Mean</w:t>
            </w:r>
          </w:p>
        </w:tc>
        <w:tc>
          <w:tcPr>
            <w:tcW w:w="1134" w:type="dxa"/>
          </w:tcPr>
          <w:p w14:paraId="2A5EB40B"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b/>
                <w:sz w:val="21"/>
                <w:szCs w:val="21"/>
              </w:rPr>
            </w:pPr>
            <w:r w:rsidRPr="00F06A4C">
              <w:rPr>
                <w:b/>
                <w:sz w:val="21"/>
                <w:szCs w:val="21"/>
              </w:rPr>
              <w:t>Std. Dev.</w:t>
            </w:r>
          </w:p>
        </w:tc>
        <w:tc>
          <w:tcPr>
            <w:tcW w:w="992" w:type="dxa"/>
          </w:tcPr>
          <w:p w14:paraId="0E2DC45E"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b/>
                <w:sz w:val="21"/>
                <w:szCs w:val="21"/>
              </w:rPr>
            </w:pPr>
            <w:r w:rsidRPr="00F06A4C">
              <w:rPr>
                <w:b/>
                <w:sz w:val="21"/>
                <w:szCs w:val="21"/>
              </w:rPr>
              <w:t xml:space="preserve">   Skew.</w:t>
            </w:r>
          </w:p>
        </w:tc>
        <w:tc>
          <w:tcPr>
            <w:tcW w:w="1165" w:type="dxa"/>
          </w:tcPr>
          <w:p w14:paraId="0CD310BC"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b/>
                <w:sz w:val="21"/>
                <w:szCs w:val="21"/>
              </w:rPr>
            </w:pPr>
            <w:r w:rsidRPr="00F06A4C">
              <w:rPr>
                <w:b/>
                <w:sz w:val="21"/>
                <w:szCs w:val="21"/>
              </w:rPr>
              <w:t>Ex. Kurt.</w:t>
            </w:r>
          </w:p>
        </w:tc>
        <w:tc>
          <w:tcPr>
            <w:tcW w:w="1528" w:type="dxa"/>
          </w:tcPr>
          <w:p w14:paraId="1835B3D2"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b/>
                <w:sz w:val="21"/>
                <w:szCs w:val="21"/>
              </w:rPr>
            </w:pPr>
            <w:r w:rsidRPr="00F06A4C">
              <w:rPr>
                <w:b/>
                <w:sz w:val="21"/>
                <w:szCs w:val="21"/>
              </w:rPr>
              <w:t>Jarque-Bera</w:t>
            </w:r>
          </w:p>
        </w:tc>
        <w:tc>
          <w:tcPr>
            <w:tcW w:w="1276" w:type="dxa"/>
          </w:tcPr>
          <w:p w14:paraId="5F40499E"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b/>
                <w:sz w:val="21"/>
                <w:szCs w:val="21"/>
              </w:rPr>
            </w:pPr>
            <w:r w:rsidRPr="00F06A4C">
              <w:rPr>
                <w:b/>
                <w:sz w:val="21"/>
                <w:szCs w:val="21"/>
              </w:rPr>
              <w:t xml:space="preserve">   </w:t>
            </w:r>
            <w:proofErr w:type="gramStart"/>
            <w:r w:rsidRPr="00F06A4C">
              <w:rPr>
                <w:b/>
                <w:sz w:val="21"/>
                <w:szCs w:val="21"/>
              </w:rPr>
              <w:t>Q(</w:t>
            </w:r>
            <w:proofErr w:type="gramEnd"/>
            <w:r w:rsidRPr="00F06A4C">
              <w:rPr>
                <w:b/>
                <w:sz w:val="21"/>
                <w:szCs w:val="21"/>
              </w:rPr>
              <w:t>5)</w:t>
            </w:r>
          </w:p>
        </w:tc>
        <w:tc>
          <w:tcPr>
            <w:tcW w:w="1134" w:type="dxa"/>
          </w:tcPr>
          <w:p w14:paraId="4055136E"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b/>
                <w:sz w:val="21"/>
                <w:szCs w:val="21"/>
              </w:rPr>
            </w:pPr>
            <w:r w:rsidRPr="00F06A4C">
              <w:rPr>
                <w:b/>
                <w:sz w:val="21"/>
                <w:szCs w:val="21"/>
              </w:rPr>
              <w:t xml:space="preserve">   ADF</w:t>
            </w:r>
          </w:p>
        </w:tc>
      </w:tr>
      <w:tr w:rsidR="000A21CD" w14:paraId="0C9C9799"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4F8EE745" w14:textId="77777777" w:rsidR="000A21CD" w:rsidRPr="00F06A4C" w:rsidRDefault="000A21CD" w:rsidP="006D69F3">
            <w:pPr>
              <w:jc w:val="both"/>
              <w:rPr>
                <w:sz w:val="21"/>
                <w:szCs w:val="21"/>
              </w:rPr>
            </w:pPr>
            <w:r w:rsidRPr="00F06A4C">
              <w:rPr>
                <w:i/>
                <w:sz w:val="21"/>
                <w:szCs w:val="21"/>
              </w:rPr>
              <w:t xml:space="preserve">CAC      </w:t>
            </w:r>
          </w:p>
        </w:tc>
        <w:tc>
          <w:tcPr>
            <w:tcW w:w="966" w:type="dxa"/>
          </w:tcPr>
          <w:p w14:paraId="384B3442"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sz w:val="21"/>
                <w:szCs w:val="21"/>
              </w:rPr>
              <w:t>0.0</w:t>
            </w:r>
            <w:r>
              <w:rPr>
                <w:sz w:val="21"/>
                <w:szCs w:val="21"/>
              </w:rPr>
              <w:t>002</w:t>
            </w:r>
          </w:p>
        </w:tc>
        <w:tc>
          <w:tcPr>
            <w:tcW w:w="1134" w:type="dxa"/>
          </w:tcPr>
          <w:p w14:paraId="38209AEC"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w:t>
            </w:r>
            <w:r w:rsidRPr="00F06A4C">
              <w:rPr>
                <w:sz w:val="21"/>
                <w:szCs w:val="21"/>
              </w:rPr>
              <w:t>.</w:t>
            </w:r>
            <w:r>
              <w:rPr>
                <w:sz w:val="21"/>
                <w:szCs w:val="21"/>
              </w:rPr>
              <w:t>0135</w:t>
            </w:r>
          </w:p>
        </w:tc>
        <w:tc>
          <w:tcPr>
            <w:tcW w:w="992" w:type="dxa"/>
          </w:tcPr>
          <w:p w14:paraId="55E42C7F"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sz w:val="21"/>
                <w:szCs w:val="21"/>
              </w:rPr>
              <w:t>-0.5417</w:t>
            </w:r>
          </w:p>
        </w:tc>
        <w:tc>
          <w:tcPr>
            <w:tcW w:w="1165" w:type="dxa"/>
          </w:tcPr>
          <w:p w14:paraId="2D8BD908"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sz w:val="21"/>
                <w:szCs w:val="21"/>
              </w:rPr>
              <w:t>7.8268</w:t>
            </w:r>
          </w:p>
        </w:tc>
        <w:tc>
          <w:tcPr>
            <w:tcW w:w="1528" w:type="dxa"/>
          </w:tcPr>
          <w:p w14:paraId="6911DA07"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sz w:val="21"/>
                <w:szCs w:val="21"/>
              </w:rPr>
              <w:t>7229.12***</w:t>
            </w:r>
          </w:p>
        </w:tc>
        <w:tc>
          <w:tcPr>
            <w:tcW w:w="1276" w:type="dxa"/>
          </w:tcPr>
          <w:p w14:paraId="6CE61B60"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sz w:val="21"/>
                <w:szCs w:val="21"/>
              </w:rPr>
              <w:t>19.4829***</w:t>
            </w:r>
          </w:p>
        </w:tc>
        <w:tc>
          <w:tcPr>
            <w:tcW w:w="1134" w:type="dxa"/>
          </w:tcPr>
          <w:p w14:paraId="52B53419"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sz w:val="21"/>
                <w:szCs w:val="21"/>
              </w:rPr>
              <w:t>-13.49***</w:t>
            </w:r>
          </w:p>
        </w:tc>
      </w:tr>
      <w:tr w:rsidR="000A21CD" w14:paraId="039BA797"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6E708D5D" w14:textId="77777777" w:rsidR="000A21CD" w:rsidRPr="00F06A4C" w:rsidRDefault="000A21CD" w:rsidP="006D69F3">
            <w:pPr>
              <w:jc w:val="both"/>
              <w:rPr>
                <w:b w:val="0"/>
                <w:bCs w:val="0"/>
                <w:caps w:val="0"/>
                <w:sz w:val="21"/>
                <w:szCs w:val="21"/>
              </w:rPr>
            </w:pPr>
            <w:r w:rsidRPr="00F06A4C">
              <w:rPr>
                <w:sz w:val="21"/>
                <w:szCs w:val="21"/>
              </w:rPr>
              <w:t>gdaxi</w:t>
            </w:r>
          </w:p>
        </w:tc>
        <w:tc>
          <w:tcPr>
            <w:tcW w:w="966" w:type="dxa"/>
          </w:tcPr>
          <w:p w14:paraId="6EEC1F3F"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0.0003</w:t>
            </w:r>
          </w:p>
        </w:tc>
        <w:tc>
          <w:tcPr>
            <w:tcW w:w="1134" w:type="dxa"/>
          </w:tcPr>
          <w:p w14:paraId="73779477"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0.0133</w:t>
            </w:r>
          </w:p>
        </w:tc>
        <w:tc>
          <w:tcPr>
            <w:tcW w:w="992" w:type="dxa"/>
          </w:tcPr>
          <w:p w14:paraId="4D879EA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-0.4563</w:t>
            </w:r>
          </w:p>
        </w:tc>
        <w:tc>
          <w:tcPr>
            <w:tcW w:w="1165" w:type="dxa"/>
          </w:tcPr>
          <w:p w14:paraId="66DF4004"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7.9884</w:t>
            </w:r>
          </w:p>
        </w:tc>
        <w:tc>
          <w:tcPr>
            <w:tcW w:w="1528" w:type="dxa"/>
          </w:tcPr>
          <w:p w14:paraId="1DA7CC3F"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7485.72***</w:t>
            </w:r>
          </w:p>
        </w:tc>
        <w:tc>
          <w:tcPr>
            <w:tcW w:w="1276" w:type="dxa"/>
          </w:tcPr>
          <w:p w14:paraId="49534ADA"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16.6816***</w:t>
            </w:r>
          </w:p>
        </w:tc>
        <w:tc>
          <w:tcPr>
            <w:tcW w:w="1134" w:type="dxa"/>
          </w:tcPr>
          <w:p w14:paraId="1B6B6F5B"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-27.25***</w:t>
            </w:r>
          </w:p>
        </w:tc>
      </w:tr>
      <w:tr w:rsidR="000A21CD" w14:paraId="2A19B036"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057901CF" w14:textId="77777777" w:rsidR="000A21CD" w:rsidRPr="00F06A4C" w:rsidRDefault="000A21CD" w:rsidP="006D69F3">
            <w:pPr>
              <w:jc w:val="both"/>
              <w:rPr>
                <w:sz w:val="21"/>
                <w:szCs w:val="21"/>
              </w:rPr>
            </w:pPr>
            <w:r w:rsidRPr="0072212F">
              <w:rPr>
                <w:i/>
                <w:sz w:val="21"/>
                <w:szCs w:val="21"/>
              </w:rPr>
              <w:t>FTSE</w:t>
            </w:r>
            <w:r>
              <w:rPr>
                <w:i/>
                <w:sz w:val="21"/>
                <w:szCs w:val="21"/>
              </w:rPr>
              <w:t xml:space="preserve"> </w:t>
            </w:r>
          </w:p>
        </w:tc>
        <w:tc>
          <w:tcPr>
            <w:tcW w:w="966" w:type="dxa"/>
          </w:tcPr>
          <w:p w14:paraId="0E470D49"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0.0001</w:t>
            </w:r>
          </w:p>
        </w:tc>
        <w:tc>
          <w:tcPr>
            <w:tcW w:w="1134" w:type="dxa"/>
          </w:tcPr>
          <w:p w14:paraId="56D56E01"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0.0107</w:t>
            </w:r>
          </w:p>
        </w:tc>
        <w:tc>
          <w:tcPr>
            <w:tcW w:w="992" w:type="dxa"/>
          </w:tcPr>
          <w:p w14:paraId="54E9F6F3"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-0.8529</w:t>
            </w:r>
          </w:p>
        </w:tc>
        <w:tc>
          <w:tcPr>
            <w:tcW w:w="1165" w:type="dxa"/>
          </w:tcPr>
          <w:p w14:paraId="2EB3B945"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8.4088</w:t>
            </w:r>
          </w:p>
        </w:tc>
        <w:tc>
          <w:tcPr>
            <w:tcW w:w="1528" w:type="dxa"/>
          </w:tcPr>
          <w:p w14:paraId="3FD7629C"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8524.27***</w:t>
            </w:r>
          </w:p>
        </w:tc>
        <w:tc>
          <w:tcPr>
            <w:tcW w:w="1276" w:type="dxa"/>
          </w:tcPr>
          <w:p w14:paraId="44EECCA5"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24.9361***</w:t>
            </w:r>
          </w:p>
        </w:tc>
        <w:tc>
          <w:tcPr>
            <w:tcW w:w="1134" w:type="dxa"/>
          </w:tcPr>
          <w:p w14:paraId="182DA4D8"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-13.59***</w:t>
            </w:r>
          </w:p>
        </w:tc>
      </w:tr>
      <w:tr w:rsidR="000A21CD" w14:paraId="20B278F9"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3689D4DF" w14:textId="77777777" w:rsidR="000A21CD" w:rsidRPr="00F06A4C" w:rsidRDefault="000A21CD" w:rsidP="006D69F3">
            <w:pPr>
              <w:jc w:val="both"/>
              <w:rPr>
                <w:sz w:val="21"/>
                <w:szCs w:val="21"/>
              </w:rPr>
            </w:pPr>
            <w:r w:rsidRPr="0072212F">
              <w:rPr>
                <w:i/>
                <w:sz w:val="21"/>
                <w:szCs w:val="21"/>
              </w:rPr>
              <w:t>FTMIB</w:t>
            </w:r>
          </w:p>
        </w:tc>
        <w:tc>
          <w:tcPr>
            <w:tcW w:w="966" w:type="dxa"/>
          </w:tcPr>
          <w:p w14:paraId="60B82CE7"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9.3E-05</w:t>
            </w:r>
          </w:p>
        </w:tc>
        <w:tc>
          <w:tcPr>
            <w:tcW w:w="1134" w:type="dxa"/>
          </w:tcPr>
          <w:p w14:paraId="149F751C"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0.0165</w:t>
            </w:r>
          </w:p>
        </w:tc>
        <w:tc>
          <w:tcPr>
            <w:tcW w:w="992" w:type="dxa"/>
          </w:tcPr>
          <w:p w14:paraId="445C68D2"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-1.0084</w:t>
            </w:r>
          </w:p>
        </w:tc>
        <w:tc>
          <w:tcPr>
            <w:tcW w:w="1165" w:type="dxa"/>
          </w:tcPr>
          <w:p w14:paraId="282E1C3A"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10.561</w:t>
            </w:r>
          </w:p>
        </w:tc>
        <w:tc>
          <w:tcPr>
            <w:tcW w:w="1528" w:type="dxa"/>
          </w:tcPr>
          <w:p w14:paraId="0BFDB20B"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13386.5***</w:t>
            </w:r>
          </w:p>
        </w:tc>
        <w:tc>
          <w:tcPr>
            <w:tcW w:w="1276" w:type="dxa"/>
          </w:tcPr>
          <w:p w14:paraId="1EA402BA"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12.2867**</w:t>
            </w:r>
          </w:p>
        </w:tc>
        <w:tc>
          <w:tcPr>
            <w:tcW w:w="1134" w:type="dxa"/>
          </w:tcPr>
          <w:p w14:paraId="15094BE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-20.67***</w:t>
            </w:r>
          </w:p>
        </w:tc>
      </w:tr>
      <w:tr w:rsidR="000A21CD" w14:paraId="53C8E8D3"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79D7B2EF" w14:textId="77777777" w:rsidR="000A21CD" w:rsidRPr="00F06A4C" w:rsidRDefault="000A21CD" w:rsidP="006D69F3">
            <w:pPr>
              <w:jc w:val="both"/>
              <w:rPr>
                <w:sz w:val="21"/>
                <w:szCs w:val="21"/>
              </w:rPr>
            </w:pPr>
            <w:r>
              <w:rPr>
                <w:i/>
                <w:sz w:val="21"/>
                <w:szCs w:val="21"/>
              </w:rPr>
              <w:t>NIKKEI</w:t>
            </w:r>
          </w:p>
        </w:tc>
        <w:tc>
          <w:tcPr>
            <w:tcW w:w="966" w:type="dxa"/>
          </w:tcPr>
          <w:p w14:paraId="62F869CB"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0.0003</w:t>
            </w:r>
          </w:p>
        </w:tc>
        <w:tc>
          <w:tcPr>
            <w:tcW w:w="1134" w:type="dxa"/>
          </w:tcPr>
          <w:p w14:paraId="6EFF6B08"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0.0138</w:t>
            </w:r>
          </w:p>
        </w:tc>
        <w:tc>
          <w:tcPr>
            <w:tcW w:w="992" w:type="dxa"/>
          </w:tcPr>
          <w:p w14:paraId="57BA0D63"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-0.3026</w:t>
            </w:r>
          </w:p>
        </w:tc>
        <w:tc>
          <w:tcPr>
            <w:tcW w:w="1165" w:type="dxa"/>
          </w:tcPr>
          <w:p w14:paraId="17A075FE"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4.5760</w:t>
            </w:r>
          </w:p>
        </w:tc>
        <w:tc>
          <w:tcPr>
            <w:tcW w:w="1528" w:type="dxa"/>
          </w:tcPr>
          <w:p w14:paraId="01DB61C0"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2467.13***</w:t>
            </w:r>
          </w:p>
        </w:tc>
        <w:tc>
          <w:tcPr>
            <w:tcW w:w="1276" w:type="dxa"/>
          </w:tcPr>
          <w:p w14:paraId="5841B95F"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17.0018***</w:t>
            </w:r>
          </w:p>
        </w:tc>
        <w:tc>
          <w:tcPr>
            <w:tcW w:w="1134" w:type="dxa"/>
          </w:tcPr>
          <w:p w14:paraId="6C715B4F"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-21.04***</w:t>
            </w:r>
          </w:p>
        </w:tc>
      </w:tr>
      <w:tr w:rsidR="000A21CD" w14:paraId="20AA6442"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5D98BBB2" w14:textId="77777777" w:rsidR="000A21CD" w:rsidRPr="00F06A4C" w:rsidRDefault="000A21CD" w:rsidP="006D69F3">
            <w:pPr>
              <w:jc w:val="both"/>
              <w:rPr>
                <w:sz w:val="21"/>
                <w:szCs w:val="21"/>
              </w:rPr>
            </w:pPr>
            <w:r w:rsidRPr="0072212F">
              <w:rPr>
                <w:i/>
                <w:sz w:val="21"/>
                <w:szCs w:val="21"/>
              </w:rPr>
              <w:t>SP</w:t>
            </w:r>
            <w:r>
              <w:rPr>
                <w:i/>
                <w:sz w:val="21"/>
                <w:szCs w:val="21"/>
              </w:rPr>
              <w:t>TSX</w:t>
            </w:r>
          </w:p>
        </w:tc>
        <w:tc>
          <w:tcPr>
            <w:tcW w:w="966" w:type="dxa"/>
          </w:tcPr>
          <w:p w14:paraId="47657BB9"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0.0002</w:t>
            </w:r>
          </w:p>
        </w:tc>
        <w:tc>
          <w:tcPr>
            <w:tcW w:w="1134" w:type="dxa"/>
          </w:tcPr>
          <w:p w14:paraId="1B483CCE"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0.0096</w:t>
            </w:r>
          </w:p>
        </w:tc>
        <w:tc>
          <w:tcPr>
            <w:tcW w:w="992" w:type="dxa"/>
          </w:tcPr>
          <w:p w14:paraId="3D516116"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-1.8155</w:t>
            </w:r>
          </w:p>
        </w:tc>
        <w:tc>
          <w:tcPr>
            <w:tcW w:w="1165" w:type="dxa"/>
          </w:tcPr>
          <w:p w14:paraId="76064FF2"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25.757</w:t>
            </w:r>
          </w:p>
        </w:tc>
        <w:tc>
          <w:tcPr>
            <w:tcW w:w="1528" w:type="dxa"/>
          </w:tcPr>
          <w:p w14:paraId="6B35F7A3"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78343.5***</w:t>
            </w:r>
          </w:p>
        </w:tc>
        <w:tc>
          <w:tcPr>
            <w:tcW w:w="1276" w:type="dxa"/>
          </w:tcPr>
          <w:p w14:paraId="106A2AD1"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41.7380***</w:t>
            </w:r>
          </w:p>
        </w:tc>
        <w:tc>
          <w:tcPr>
            <w:tcW w:w="1134" w:type="dxa"/>
          </w:tcPr>
          <w:p w14:paraId="53F95E7B"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-10.93***</w:t>
            </w:r>
          </w:p>
        </w:tc>
      </w:tr>
      <w:tr w:rsidR="000A21CD" w14:paraId="1FE3BF2E"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43D50E12" w14:textId="77777777" w:rsidR="000A21CD" w:rsidRPr="00F06A4C" w:rsidRDefault="000A21CD" w:rsidP="006D69F3">
            <w:pPr>
              <w:rPr>
                <w:b w:val="0"/>
                <w:bCs w:val="0"/>
                <w:i/>
                <w:sz w:val="21"/>
                <w:szCs w:val="21"/>
              </w:rPr>
            </w:pPr>
            <w:r>
              <w:rPr>
                <w:i/>
                <w:sz w:val="21"/>
                <w:szCs w:val="21"/>
              </w:rPr>
              <w:t>SPX</w:t>
            </w:r>
          </w:p>
        </w:tc>
        <w:tc>
          <w:tcPr>
            <w:tcW w:w="966" w:type="dxa"/>
          </w:tcPr>
          <w:p w14:paraId="5F899710"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0.0005</w:t>
            </w:r>
          </w:p>
        </w:tc>
        <w:tc>
          <w:tcPr>
            <w:tcW w:w="1134" w:type="dxa"/>
          </w:tcPr>
          <w:p w14:paraId="3C752870"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0.0110</w:t>
            </w:r>
          </w:p>
        </w:tc>
        <w:tc>
          <w:tcPr>
            <w:tcW w:w="992" w:type="dxa"/>
          </w:tcPr>
          <w:p w14:paraId="759D328A"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-0.7790</w:t>
            </w:r>
          </w:p>
        </w:tc>
        <w:tc>
          <w:tcPr>
            <w:tcW w:w="1165" w:type="dxa"/>
          </w:tcPr>
          <w:p w14:paraId="2AA8E0E1"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9.5335</w:t>
            </w:r>
          </w:p>
        </w:tc>
        <w:tc>
          <w:tcPr>
            <w:tcW w:w="1528" w:type="dxa"/>
          </w:tcPr>
          <w:p w14:paraId="2BC7DE3F"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10805.2***</w:t>
            </w:r>
          </w:p>
        </w:tc>
        <w:tc>
          <w:tcPr>
            <w:tcW w:w="1276" w:type="dxa"/>
          </w:tcPr>
          <w:p w14:paraId="2DA5EDCE"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38.5681***</w:t>
            </w:r>
          </w:p>
        </w:tc>
        <w:tc>
          <w:tcPr>
            <w:tcW w:w="1134" w:type="dxa"/>
          </w:tcPr>
          <w:p w14:paraId="51A0C649"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-13.55***</w:t>
            </w:r>
          </w:p>
        </w:tc>
      </w:tr>
      <w:tr w:rsidR="000A21CD" w14:paraId="6527F910"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7F2A0752" w14:textId="77777777" w:rsidR="000A21CD" w:rsidRPr="00F06A4C" w:rsidRDefault="000A21CD" w:rsidP="006D69F3">
            <w:pPr>
              <w:jc w:val="both"/>
              <w:rPr>
                <w:sz w:val="21"/>
                <w:szCs w:val="21"/>
              </w:rPr>
            </w:pPr>
          </w:p>
        </w:tc>
        <w:tc>
          <w:tcPr>
            <w:tcW w:w="966" w:type="dxa"/>
          </w:tcPr>
          <w:p w14:paraId="0A67DD2A"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p>
        </w:tc>
        <w:tc>
          <w:tcPr>
            <w:tcW w:w="1134" w:type="dxa"/>
          </w:tcPr>
          <w:p w14:paraId="4D9C37D9"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p>
        </w:tc>
        <w:tc>
          <w:tcPr>
            <w:tcW w:w="992" w:type="dxa"/>
          </w:tcPr>
          <w:p w14:paraId="7D176462"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p>
        </w:tc>
        <w:tc>
          <w:tcPr>
            <w:tcW w:w="1165" w:type="dxa"/>
          </w:tcPr>
          <w:p w14:paraId="0572FAAB"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p>
        </w:tc>
        <w:tc>
          <w:tcPr>
            <w:tcW w:w="1528" w:type="dxa"/>
          </w:tcPr>
          <w:p w14:paraId="2707175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p>
        </w:tc>
        <w:tc>
          <w:tcPr>
            <w:tcW w:w="1276" w:type="dxa"/>
          </w:tcPr>
          <w:p w14:paraId="561808D3"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p>
        </w:tc>
        <w:tc>
          <w:tcPr>
            <w:tcW w:w="1134" w:type="dxa"/>
          </w:tcPr>
          <w:p w14:paraId="73176FC6"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p>
        </w:tc>
      </w:tr>
      <w:tr w:rsidR="000A21CD" w14:paraId="0C46315E"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498AB7A6" w14:textId="77777777" w:rsidR="000A21CD" w:rsidRPr="00F06A4C" w:rsidRDefault="000A21CD" w:rsidP="006D69F3">
            <w:pPr>
              <w:jc w:val="both"/>
              <w:rPr>
                <w:i/>
                <w:sz w:val="21"/>
                <w:szCs w:val="21"/>
                <w:u w:val="single"/>
              </w:rPr>
            </w:pPr>
            <w:r w:rsidRPr="00F06A4C">
              <w:rPr>
                <w:i/>
                <w:sz w:val="21"/>
                <w:szCs w:val="21"/>
                <w:u w:val="single"/>
              </w:rPr>
              <w:t>RANGE</w:t>
            </w:r>
          </w:p>
        </w:tc>
        <w:tc>
          <w:tcPr>
            <w:tcW w:w="966" w:type="dxa"/>
          </w:tcPr>
          <w:p w14:paraId="69B4372A"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b/>
                <w:sz w:val="21"/>
                <w:szCs w:val="21"/>
              </w:rPr>
              <w:t xml:space="preserve">  Mean</w:t>
            </w:r>
          </w:p>
        </w:tc>
        <w:tc>
          <w:tcPr>
            <w:tcW w:w="1134" w:type="dxa"/>
          </w:tcPr>
          <w:p w14:paraId="41B53A9F"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b/>
                <w:sz w:val="21"/>
                <w:szCs w:val="21"/>
              </w:rPr>
              <w:t>Std. Dev.</w:t>
            </w:r>
          </w:p>
        </w:tc>
        <w:tc>
          <w:tcPr>
            <w:tcW w:w="992" w:type="dxa"/>
          </w:tcPr>
          <w:p w14:paraId="6096C2F9"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b/>
                <w:sz w:val="21"/>
                <w:szCs w:val="21"/>
              </w:rPr>
              <w:t xml:space="preserve">   Skew.</w:t>
            </w:r>
          </w:p>
        </w:tc>
        <w:tc>
          <w:tcPr>
            <w:tcW w:w="1165" w:type="dxa"/>
          </w:tcPr>
          <w:p w14:paraId="12C2A2CD"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b/>
                <w:sz w:val="21"/>
                <w:szCs w:val="21"/>
              </w:rPr>
              <w:t>Ex. Kurt.</w:t>
            </w:r>
          </w:p>
        </w:tc>
        <w:tc>
          <w:tcPr>
            <w:tcW w:w="1528" w:type="dxa"/>
          </w:tcPr>
          <w:p w14:paraId="4FEC4BDE"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b/>
                <w:sz w:val="21"/>
                <w:szCs w:val="21"/>
              </w:rPr>
              <w:t>Jarque-Bera</w:t>
            </w:r>
          </w:p>
        </w:tc>
        <w:tc>
          <w:tcPr>
            <w:tcW w:w="1276" w:type="dxa"/>
          </w:tcPr>
          <w:p w14:paraId="372762BC"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b/>
                <w:sz w:val="21"/>
                <w:szCs w:val="21"/>
              </w:rPr>
              <w:t xml:space="preserve">   </w:t>
            </w:r>
            <w:proofErr w:type="gramStart"/>
            <w:r w:rsidRPr="00F06A4C">
              <w:rPr>
                <w:b/>
                <w:sz w:val="21"/>
                <w:szCs w:val="21"/>
              </w:rPr>
              <w:t>Q(</w:t>
            </w:r>
            <w:proofErr w:type="gramEnd"/>
            <w:r w:rsidRPr="00F06A4C">
              <w:rPr>
                <w:b/>
                <w:sz w:val="21"/>
                <w:szCs w:val="21"/>
              </w:rPr>
              <w:t>5)</w:t>
            </w:r>
          </w:p>
        </w:tc>
        <w:tc>
          <w:tcPr>
            <w:tcW w:w="1134" w:type="dxa"/>
          </w:tcPr>
          <w:p w14:paraId="7D038D07"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sidRPr="00F06A4C">
              <w:rPr>
                <w:b/>
                <w:sz w:val="21"/>
                <w:szCs w:val="21"/>
              </w:rPr>
              <w:t xml:space="preserve">   ADF</w:t>
            </w:r>
          </w:p>
        </w:tc>
      </w:tr>
      <w:tr w:rsidR="000A21CD" w14:paraId="78B032A3"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7BE0A54F" w14:textId="77777777" w:rsidR="000A21CD" w:rsidRPr="00F06A4C" w:rsidRDefault="000A21CD" w:rsidP="006D69F3">
            <w:pPr>
              <w:jc w:val="both"/>
              <w:rPr>
                <w:sz w:val="21"/>
                <w:szCs w:val="21"/>
              </w:rPr>
            </w:pPr>
            <w:r w:rsidRPr="00F06A4C">
              <w:rPr>
                <w:i/>
                <w:sz w:val="21"/>
                <w:szCs w:val="21"/>
              </w:rPr>
              <w:t xml:space="preserve">CAC      </w:t>
            </w:r>
          </w:p>
        </w:tc>
        <w:tc>
          <w:tcPr>
            <w:tcW w:w="966" w:type="dxa"/>
          </w:tcPr>
          <w:p w14:paraId="7432B072"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0.0142</w:t>
            </w:r>
          </w:p>
        </w:tc>
        <w:tc>
          <w:tcPr>
            <w:tcW w:w="1134" w:type="dxa"/>
          </w:tcPr>
          <w:p w14:paraId="57A80338"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0.0089</w:t>
            </w:r>
          </w:p>
        </w:tc>
        <w:tc>
          <w:tcPr>
            <w:tcW w:w="992" w:type="dxa"/>
          </w:tcPr>
          <w:p w14:paraId="63905448"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2.4706</w:t>
            </w:r>
          </w:p>
        </w:tc>
        <w:tc>
          <w:tcPr>
            <w:tcW w:w="1165" w:type="dxa"/>
          </w:tcPr>
          <w:p w14:paraId="32FE3F4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10.741</w:t>
            </w:r>
          </w:p>
        </w:tc>
        <w:tc>
          <w:tcPr>
            <w:tcW w:w="1528" w:type="dxa"/>
          </w:tcPr>
          <w:p w14:paraId="5ECF2B16"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16192.9***</w:t>
            </w:r>
          </w:p>
        </w:tc>
        <w:tc>
          <w:tcPr>
            <w:tcW w:w="1276" w:type="dxa"/>
          </w:tcPr>
          <w:p w14:paraId="4CB4DB16"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3733.55***</w:t>
            </w:r>
          </w:p>
        </w:tc>
        <w:tc>
          <w:tcPr>
            <w:tcW w:w="1134" w:type="dxa"/>
          </w:tcPr>
          <w:p w14:paraId="5145AAA4"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-8.57***</w:t>
            </w:r>
          </w:p>
        </w:tc>
      </w:tr>
      <w:tr w:rsidR="000A21CD" w14:paraId="7CC1E0A7"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1A9387FC" w14:textId="77777777" w:rsidR="000A21CD" w:rsidRPr="00F06A4C" w:rsidRDefault="000A21CD" w:rsidP="006D69F3">
            <w:pPr>
              <w:jc w:val="both"/>
              <w:rPr>
                <w:sz w:val="21"/>
                <w:szCs w:val="21"/>
              </w:rPr>
            </w:pPr>
            <w:r w:rsidRPr="00F06A4C">
              <w:rPr>
                <w:sz w:val="21"/>
                <w:szCs w:val="21"/>
              </w:rPr>
              <w:t>gdaxi</w:t>
            </w:r>
          </w:p>
        </w:tc>
        <w:tc>
          <w:tcPr>
            <w:tcW w:w="966" w:type="dxa"/>
          </w:tcPr>
          <w:p w14:paraId="28D49043"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0.0143</w:t>
            </w:r>
          </w:p>
        </w:tc>
        <w:tc>
          <w:tcPr>
            <w:tcW w:w="1134" w:type="dxa"/>
          </w:tcPr>
          <w:p w14:paraId="7DAF1947"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0.0089</w:t>
            </w:r>
          </w:p>
        </w:tc>
        <w:tc>
          <w:tcPr>
            <w:tcW w:w="992" w:type="dxa"/>
          </w:tcPr>
          <w:p w14:paraId="4169A8D0"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2.4779</w:t>
            </w:r>
          </w:p>
        </w:tc>
        <w:tc>
          <w:tcPr>
            <w:tcW w:w="1165" w:type="dxa"/>
          </w:tcPr>
          <w:p w14:paraId="0D7DFC52"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12.002</w:t>
            </w:r>
          </w:p>
        </w:tc>
        <w:tc>
          <w:tcPr>
            <w:tcW w:w="1528" w:type="dxa"/>
          </w:tcPr>
          <w:p w14:paraId="35459794"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19529.4***</w:t>
            </w:r>
          </w:p>
        </w:tc>
        <w:tc>
          <w:tcPr>
            <w:tcW w:w="1276" w:type="dxa"/>
          </w:tcPr>
          <w:p w14:paraId="49D4CEAC"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3596.39***</w:t>
            </w:r>
          </w:p>
        </w:tc>
        <w:tc>
          <w:tcPr>
            <w:tcW w:w="1134" w:type="dxa"/>
          </w:tcPr>
          <w:p w14:paraId="04098863"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-6.56***</w:t>
            </w:r>
          </w:p>
        </w:tc>
      </w:tr>
      <w:tr w:rsidR="000A21CD" w14:paraId="1393C035"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34D46AB1" w14:textId="77777777" w:rsidR="000A21CD" w:rsidRPr="00F06A4C" w:rsidRDefault="000A21CD" w:rsidP="006D69F3">
            <w:pPr>
              <w:jc w:val="both"/>
              <w:rPr>
                <w:sz w:val="21"/>
                <w:szCs w:val="21"/>
              </w:rPr>
            </w:pPr>
            <w:r w:rsidRPr="00F06A4C">
              <w:rPr>
                <w:i/>
                <w:sz w:val="21"/>
                <w:szCs w:val="21"/>
              </w:rPr>
              <w:t xml:space="preserve">FTSE </w:t>
            </w:r>
          </w:p>
        </w:tc>
        <w:tc>
          <w:tcPr>
            <w:tcW w:w="966" w:type="dxa"/>
          </w:tcPr>
          <w:p w14:paraId="540DE43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0.0126</w:t>
            </w:r>
          </w:p>
        </w:tc>
        <w:tc>
          <w:tcPr>
            <w:tcW w:w="1134" w:type="dxa"/>
          </w:tcPr>
          <w:p w14:paraId="33F9CD21"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0.0083</w:t>
            </w:r>
          </w:p>
        </w:tc>
        <w:tc>
          <w:tcPr>
            <w:tcW w:w="992" w:type="dxa"/>
          </w:tcPr>
          <w:p w14:paraId="113F4415"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3.5583</w:t>
            </w:r>
          </w:p>
        </w:tc>
        <w:tc>
          <w:tcPr>
            <w:tcW w:w="1165" w:type="dxa"/>
          </w:tcPr>
          <w:p w14:paraId="43238BFB"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24.289</w:t>
            </w:r>
          </w:p>
        </w:tc>
        <w:tc>
          <w:tcPr>
            <w:tcW w:w="1528" w:type="dxa"/>
          </w:tcPr>
          <w:p w14:paraId="45BDF86C"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74203.1***</w:t>
            </w:r>
          </w:p>
        </w:tc>
        <w:tc>
          <w:tcPr>
            <w:tcW w:w="1276" w:type="dxa"/>
          </w:tcPr>
          <w:p w14:paraId="23F011B7"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3931.79***</w:t>
            </w:r>
          </w:p>
        </w:tc>
        <w:tc>
          <w:tcPr>
            <w:tcW w:w="1134" w:type="dxa"/>
          </w:tcPr>
          <w:p w14:paraId="4BE46216"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-8.16***</w:t>
            </w:r>
          </w:p>
        </w:tc>
      </w:tr>
      <w:tr w:rsidR="000A21CD" w14:paraId="355E55EE"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26417F68" w14:textId="77777777" w:rsidR="000A21CD" w:rsidRPr="00F06A4C" w:rsidRDefault="000A21CD" w:rsidP="006D69F3">
            <w:pPr>
              <w:jc w:val="both"/>
              <w:rPr>
                <w:sz w:val="21"/>
                <w:szCs w:val="21"/>
              </w:rPr>
            </w:pPr>
            <w:r w:rsidRPr="00F06A4C">
              <w:rPr>
                <w:i/>
                <w:sz w:val="21"/>
                <w:szCs w:val="21"/>
              </w:rPr>
              <w:t>FTMIB</w:t>
            </w:r>
          </w:p>
        </w:tc>
        <w:tc>
          <w:tcPr>
            <w:tcW w:w="966" w:type="dxa"/>
          </w:tcPr>
          <w:p w14:paraId="39C17D91"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0.0180</w:t>
            </w:r>
          </w:p>
        </w:tc>
        <w:tc>
          <w:tcPr>
            <w:tcW w:w="1134" w:type="dxa"/>
          </w:tcPr>
          <w:p w14:paraId="4EFAF3C6"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0.0113</w:t>
            </w:r>
          </w:p>
        </w:tc>
        <w:tc>
          <w:tcPr>
            <w:tcW w:w="992" w:type="dxa"/>
          </w:tcPr>
          <w:p w14:paraId="0C66D371"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3.5887</w:t>
            </w:r>
          </w:p>
        </w:tc>
        <w:tc>
          <w:tcPr>
            <w:tcW w:w="1165" w:type="dxa"/>
          </w:tcPr>
          <w:p w14:paraId="5FCA47BA"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28.654</w:t>
            </w:r>
          </w:p>
        </w:tc>
        <w:tc>
          <w:tcPr>
            <w:tcW w:w="1528" w:type="dxa"/>
          </w:tcPr>
          <w:p w14:paraId="6E2E94D1"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101073***</w:t>
            </w:r>
          </w:p>
        </w:tc>
        <w:tc>
          <w:tcPr>
            <w:tcW w:w="1276" w:type="dxa"/>
          </w:tcPr>
          <w:p w14:paraId="0C10057F"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3382.78***</w:t>
            </w:r>
          </w:p>
        </w:tc>
        <w:tc>
          <w:tcPr>
            <w:tcW w:w="1134" w:type="dxa"/>
          </w:tcPr>
          <w:p w14:paraId="5DAF9E72"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-8.61***</w:t>
            </w:r>
          </w:p>
        </w:tc>
      </w:tr>
      <w:tr w:rsidR="000A21CD" w14:paraId="00C52BFF"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7F134F1E" w14:textId="77777777" w:rsidR="000A21CD" w:rsidRPr="00F06A4C" w:rsidRDefault="000A21CD" w:rsidP="006D69F3">
            <w:pPr>
              <w:jc w:val="both"/>
              <w:rPr>
                <w:sz w:val="21"/>
                <w:szCs w:val="21"/>
              </w:rPr>
            </w:pPr>
            <w:r w:rsidRPr="00F06A4C">
              <w:rPr>
                <w:i/>
                <w:sz w:val="21"/>
                <w:szCs w:val="21"/>
              </w:rPr>
              <w:t>NIKKEI</w:t>
            </w:r>
          </w:p>
        </w:tc>
        <w:tc>
          <w:tcPr>
            <w:tcW w:w="966" w:type="dxa"/>
          </w:tcPr>
          <w:p w14:paraId="22CF32E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0.0116</w:t>
            </w:r>
          </w:p>
        </w:tc>
        <w:tc>
          <w:tcPr>
            <w:tcW w:w="1134" w:type="dxa"/>
          </w:tcPr>
          <w:p w14:paraId="01E17FD9"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0.0084</w:t>
            </w:r>
          </w:p>
        </w:tc>
        <w:tc>
          <w:tcPr>
            <w:tcW w:w="992" w:type="dxa"/>
          </w:tcPr>
          <w:p w14:paraId="42F261D4"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5.1205</w:t>
            </w:r>
          </w:p>
        </w:tc>
        <w:tc>
          <w:tcPr>
            <w:tcW w:w="1165" w:type="dxa"/>
          </w:tcPr>
          <w:p w14:paraId="679FCC1F"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57.640</w:t>
            </w:r>
          </w:p>
        </w:tc>
        <w:tc>
          <w:tcPr>
            <w:tcW w:w="1528" w:type="dxa"/>
          </w:tcPr>
          <w:p w14:paraId="7866A464"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396984***</w:t>
            </w:r>
          </w:p>
        </w:tc>
        <w:tc>
          <w:tcPr>
            <w:tcW w:w="1276" w:type="dxa"/>
          </w:tcPr>
          <w:p w14:paraId="14BD7615"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1871.18***</w:t>
            </w:r>
          </w:p>
        </w:tc>
        <w:tc>
          <w:tcPr>
            <w:tcW w:w="1134" w:type="dxa"/>
          </w:tcPr>
          <w:p w14:paraId="4367D0E1"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-8.27***</w:t>
            </w:r>
          </w:p>
        </w:tc>
      </w:tr>
      <w:tr w:rsidR="000A21CD" w14:paraId="1827F930"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27358A77" w14:textId="77777777" w:rsidR="000A21CD" w:rsidRPr="00F06A4C" w:rsidRDefault="000A21CD" w:rsidP="006D69F3">
            <w:pPr>
              <w:jc w:val="both"/>
              <w:rPr>
                <w:sz w:val="21"/>
                <w:szCs w:val="21"/>
              </w:rPr>
            </w:pPr>
            <w:r w:rsidRPr="00F06A4C">
              <w:rPr>
                <w:i/>
                <w:sz w:val="21"/>
                <w:szCs w:val="21"/>
              </w:rPr>
              <w:t>SPTSX</w:t>
            </w:r>
          </w:p>
        </w:tc>
        <w:tc>
          <w:tcPr>
            <w:tcW w:w="966" w:type="dxa"/>
          </w:tcPr>
          <w:p w14:paraId="4C0DACE1"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0.0097</w:t>
            </w:r>
          </w:p>
        </w:tc>
        <w:tc>
          <w:tcPr>
            <w:tcW w:w="1134" w:type="dxa"/>
          </w:tcPr>
          <w:p w14:paraId="43AE1B2D"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0.0070</w:t>
            </w:r>
          </w:p>
        </w:tc>
        <w:tc>
          <w:tcPr>
            <w:tcW w:w="992" w:type="dxa"/>
          </w:tcPr>
          <w:p w14:paraId="09557102"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3.9901</w:t>
            </w:r>
          </w:p>
        </w:tc>
        <w:tc>
          <w:tcPr>
            <w:tcW w:w="1165" w:type="dxa"/>
          </w:tcPr>
          <w:p w14:paraId="2DDCFD2B"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31.495</w:t>
            </w:r>
          </w:p>
        </w:tc>
        <w:tc>
          <w:tcPr>
            <w:tcW w:w="1528" w:type="dxa"/>
          </w:tcPr>
          <w:p w14:paraId="11E9313E"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122277***</w:t>
            </w:r>
          </w:p>
        </w:tc>
        <w:tc>
          <w:tcPr>
            <w:tcW w:w="1276" w:type="dxa"/>
          </w:tcPr>
          <w:p w14:paraId="3A12CA1A"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4750.06***</w:t>
            </w:r>
          </w:p>
        </w:tc>
        <w:tc>
          <w:tcPr>
            <w:tcW w:w="1134" w:type="dxa"/>
          </w:tcPr>
          <w:p w14:paraId="7DE01238"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-5.96***</w:t>
            </w:r>
          </w:p>
        </w:tc>
      </w:tr>
      <w:tr w:rsidR="000A21CD" w14:paraId="6A5BC2DC"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508F703E" w14:textId="77777777" w:rsidR="000A21CD" w:rsidRPr="00F06A4C" w:rsidRDefault="000A21CD" w:rsidP="006D69F3">
            <w:pPr>
              <w:jc w:val="both"/>
              <w:rPr>
                <w:sz w:val="21"/>
                <w:szCs w:val="21"/>
              </w:rPr>
            </w:pPr>
            <w:r w:rsidRPr="00F06A4C">
              <w:rPr>
                <w:i/>
                <w:sz w:val="21"/>
                <w:szCs w:val="21"/>
              </w:rPr>
              <w:t>SPX</w:t>
            </w:r>
          </w:p>
        </w:tc>
        <w:tc>
          <w:tcPr>
            <w:tcW w:w="966" w:type="dxa"/>
          </w:tcPr>
          <w:p w14:paraId="29D1D124"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0.0111</w:t>
            </w:r>
          </w:p>
        </w:tc>
        <w:tc>
          <w:tcPr>
            <w:tcW w:w="1134" w:type="dxa"/>
          </w:tcPr>
          <w:p w14:paraId="71512B04"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0.0081</w:t>
            </w:r>
          </w:p>
        </w:tc>
        <w:tc>
          <w:tcPr>
            <w:tcW w:w="992" w:type="dxa"/>
          </w:tcPr>
          <w:p w14:paraId="51EC2998"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2.8837</w:t>
            </w:r>
          </w:p>
        </w:tc>
        <w:tc>
          <w:tcPr>
            <w:tcW w:w="1165" w:type="dxa"/>
          </w:tcPr>
          <w:p w14:paraId="6C0490D8"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14.587</w:t>
            </w:r>
          </w:p>
        </w:tc>
        <w:tc>
          <w:tcPr>
            <w:tcW w:w="1528" w:type="dxa"/>
          </w:tcPr>
          <w:p w14:paraId="0635AC81"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28501.5***</w:t>
            </w:r>
          </w:p>
        </w:tc>
        <w:tc>
          <w:tcPr>
            <w:tcW w:w="1276" w:type="dxa"/>
          </w:tcPr>
          <w:p w14:paraId="5427720E"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4607.59***</w:t>
            </w:r>
          </w:p>
        </w:tc>
        <w:tc>
          <w:tcPr>
            <w:tcW w:w="1134" w:type="dxa"/>
          </w:tcPr>
          <w:p w14:paraId="084F6ED6"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-6.05***</w:t>
            </w:r>
          </w:p>
        </w:tc>
      </w:tr>
      <w:tr w:rsidR="000A21CD" w14:paraId="4E7F93CC"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5D4F57D3" w14:textId="77777777" w:rsidR="000A21CD" w:rsidRDefault="000A21CD" w:rsidP="006D69F3">
            <w:pPr>
              <w:jc w:val="both"/>
            </w:pPr>
          </w:p>
        </w:tc>
        <w:tc>
          <w:tcPr>
            <w:tcW w:w="966" w:type="dxa"/>
          </w:tcPr>
          <w:p w14:paraId="47E914B1" w14:textId="77777777" w:rsidR="000A21CD" w:rsidRDefault="000A21CD" w:rsidP="006D69F3">
            <w:pPr>
              <w:jc w:val="both"/>
              <w:cnfStyle w:val="000000000000" w:firstRow="0" w:lastRow="0" w:firstColumn="0" w:lastColumn="0" w:oddVBand="0" w:evenVBand="0" w:oddHBand="0" w:evenHBand="0" w:firstRowFirstColumn="0" w:firstRowLastColumn="0" w:lastRowFirstColumn="0" w:lastRowLastColumn="0"/>
            </w:pPr>
          </w:p>
        </w:tc>
        <w:tc>
          <w:tcPr>
            <w:tcW w:w="1134" w:type="dxa"/>
          </w:tcPr>
          <w:p w14:paraId="53CB9860" w14:textId="77777777" w:rsidR="000A21CD" w:rsidRDefault="000A21CD" w:rsidP="006D69F3">
            <w:pPr>
              <w:jc w:val="both"/>
              <w:cnfStyle w:val="000000000000" w:firstRow="0" w:lastRow="0" w:firstColumn="0" w:lastColumn="0" w:oddVBand="0" w:evenVBand="0" w:oddHBand="0" w:evenHBand="0" w:firstRowFirstColumn="0" w:firstRowLastColumn="0" w:lastRowFirstColumn="0" w:lastRowLastColumn="0"/>
            </w:pPr>
          </w:p>
        </w:tc>
        <w:tc>
          <w:tcPr>
            <w:tcW w:w="992" w:type="dxa"/>
          </w:tcPr>
          <w:p w14:paraId="44A17F0E" w14:textId="77777777" w:rsidR="000A21CD" w:rsidRDefault="000A21CD" w:rsidP="006D69F3">
            <w:pPr>
              <w:jc w:val="both"/>
              <w:cnfStyle w:val="000000000000" w:firstRow="0" w:lastRow="0" w:firstColumn="0" w:lastColumn="0" w:oddVBand="0" w:evenVBand="0" w:oddHBand="0" w:evenHBand="0" w:firstRowFirstColumn="0" w:firstRowLastColumn="0" w:lastRowFirstColumn="0" w:lastRowLastColumn="0"/>
            </w:pPr>
          </w:p>
        </w:tc>
        <w:tc>
          <w:tcPr>
            <w:tcW w:w="1165" w:type="dxa"/>
          </w:tcPr>
          <w:p w14:paraId="0294104F" w14:textId="77777777" w:rsidR="000A21CD" w:rsidRDefault="000A21CD" w:rsidP="006D69F3">
            <w:pPr>
              <w:jc w:val="both"/>
              <w:cnfStyle w:val="000000000000" w:firstRow="0" w:lastRow="0" w:firstColumn="0" w:lastColumn="0" w:oddVBand="0" w:evenVBand="0" w:oddHBand="0" w:evenHBand="0" w:firstRowFirstColumn="0" w:firstRowLastColumn="0" w:lastRowFirstColumn="0" w:lastRowLastColumn="0"/>
            </w:pPr>
          </w:p>
        </w:tc>
        <w:tc>
          <w:tcPr>
            <w:tcW w:w="1528" w:type="dxa"/>
          </w:tcPr>
          <w:p w14:paraId="05426079" w14:textId="77777777" w:rsidR="000A21CD" w:rsidRDefault="000A21CD" w:rsidP="006D69F3">
            <w:pPr>
              <w:jc w:val="both"/>
              <w:cnfStyle w:val="000000000000" w:firstRow="0" w:lastRow="0" w:firstColumn="0" w:lastColumn="0" w:oddVBand="0" w:evenVBand="0" w:oddHBand="0" w:evenHBand="0" w:firstRowFirstColumn="0" w:firstRowLastColumn="0" w:lastRowFirstColumn="0" w:lastRowLastColumn="0"/>
            </w:pPr>
          </w:p>
        </w:tc>
        <w:tc>
          <w:tcPr>
            <w:tcW w:w="1276" w:type="dxa"/>
          </w:tcPr>
          <w:p w14:paraId="5E7BB728" w14:textId="77777777" w:rsidR="000A21CD" w:rsidRDefault="000A21CD" w:rsidP="006D69F3">
            <w:pPr>
              <w:jc w:val="both"/>
              <w:cnfStyle w:val="000000000000" w:firstRow="0" w:lastRow="0" w:firstColumn="0" w:lastColumn="0" w:oddVBand="0" w:evenVBand="0" w:oddHBand="0" w:evenHBand="0" w:firstRowFirstColumn="0" w:firstRowLastColumn="0" w:lastRowFirstColumn="0" w:lastRowLastColumn="0"/>
            </w:pPr>
          </w:p>
        </w:tc>
        <w:tc>
          <w:tcPr>
            <w:tcW w:w="1134" w:type="dxa"/>
          </w:tcPr>
          <w:p w14:paraId="4B2E6904" w14:textId="77777777" w:rsidR="000A21CD" w:rsidRDefault="000A21CD" w:rsidP="006D69F3">
            <w:pPr>
              <w:jc w:val="both"/>
              <w:cnfStyle w:val="000000000000" w:firstRow="0" w:lastRow="0" w:firstColumn="0" w:lastColumn="0" w:oddVBand="0" w:evenVBand="0" w:oddHBand="0" w:evenHBand="0" w:firstRowFirstColumn="0" w:firstRowLastColumn="0" w:lastRowFirstColumn="0" w:lastRowLastColumn="0"/>
            </w:pPr>
          </w:p>
        </w:tc>
      </w:tr>
      <w:tr w:rsidR="000A21CD" w14:paraId="53CD4CC5"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0F55CEAE" w14:textId="77777777" w:rsidR="000A21CD" w:rsidRPr="00F06A4C" w:rsidRDefault="000A21CD" w:rsidP="006D69F3">
            <w:pPr>
              <w:jc w:val="both"/>
              <w:rPr>
                <w:i/>
                <w:sz w:val="21"/>
                <w:szCs w:val="21"/>
                <w:u w:val="single"/>
              </w:rPr>
            </w:pPr>
            <w:r w:rsidRPr="00F06A4C">
              <w:rPr>
                <w:i/>
                <w:sz w:val="21"/>
                <w:szCs w:val="21"/>
                <w:u w:val="single"/>
              </w:rPr>
              <w:t>5-MIN RV</w:t>
            </w:r>
          </w:p>
        </w:tc>
        <w:tc>
          <w:tcPr>
            <w:tcW w:w="966" w:type="dxa"/>
          </w:tcPr>
          <w:p w14:paraId="69E6AD52"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sidRPr="00F06A4C">
              <w:rPr>
                <w:b/>
                <w:sz w:val="21"/>
                <w:szCs w:val="21"/>
              </w:rPr>
              <w:t xml:space="preserve">  Mean</w:t>
            </w:r>
          </w:p>
        </w:tc>
        <w:tc>
          <w:tcPr>
            <w:tcW w:w="1134" w:type="dxa"/>
          </w:tcPr>
          <w:p w14:paraId="519400E6"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sidRPr="00F06A4C">
              <w:rPr>
                <w:b/>
                <w:sz w:val="21"/>
                <w:szCs w:val="21"/>
              </w:rPr>
              <w:t>Std. Dev.</w:t>
            </w:r>
          </w:p>
        </w:tc>
        <w:tc>
          <w:tcPr>
            <w:tcW w:w="992" w:type="dxa"/>
          </w:tcPr>
          <w:p w14:paraId="35F356CA"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sidRPr="00F06A4C">
              <w:rPr>
                <w:b/>
                <w:sz w:val="21"/>
                <w:szCs w:val="21"/>
              </w:rPr>
              <w:t xml:space="preserve">   Skew.</w:t>
            </w:r>
          </w:p>
        </w:tc>
        <w:tc>
          <w:tcPr>
            <w:tcW w:w="1165" w:type="dxa"/>
          </w:tcPr>
          <w:p w14:paraId="5355580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sidRPr="00F06A4C">
              <w:rPr>
                <w:b/>
                <w:sz w:val="21"/>
                <w:szCs w:val="21"/>
              </w:rPr>
              <w:t>Ex. Kurt.</w:t>
            </w:r>
          </w:p>
        </w:tc>
        <w:tc>
          <w:tcPr>
            <w:tcW w:w="1528" w:type="dxa"/>
          </w:tcPr>
          <w:p w14:paraId="0C1FCE4E"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sidRPr="00F06A4C">
              <w:rPr>
                <w:b/>
                <w:sz w:val="21"/>
                <w:szCs w:val="21"/>
              </w:rPr>
              <w:t>Jarque-Bera</w:t>
            </w:r>
          </w:p>
        </w:tc>
        <w:tc>
          <w:tcPr>
            <w:tcW w:w="1276" w:type="dxa"/>
          </w:tcPr>
          <w:p w14:paraId="3B3A492C"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sidRPr="00F06A4C">
              <w:rPr>
                <w:b/>
                <w:sz w:val="21"/>
                <w:szCs w:val="21"/>
              </w:rPr>
              <w:t xml:space="preserve">   </w:t>
            </w:r>
            <w:proofErr w:type="gramStart"/>
            <w:r w:rsidRPr="00F06A4C">
              <w:rPr>
                <w:b/>
                <w:sz w:val="21"/>
                <w:szCs w:val="21"/>
              </w:rPr>
              <w:t>Q(</w:t>
            </w:r>
            <w:proofErr w:type="gramEnd"/>
            <w:r w:rsidRPr="00F06A4C">
              <w:rPr>
                <w:b/>
                <w:sz w:val="21"/>
                <w:szCs w:val="21"/>
              </w:rPr>
              <w:t>5)</w:t>
            </w:r>
          </w:p>
        </w:tc>
        <w:tc>
          <w:tcPr>
            <w:tcW w:w="1134" w:type="dxa"/>
          </w:tcPr>
          <w:p w14:paraId="4615F7B9"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sidRPr="00F06A4C">
              <w:rPr>
                <w:b/>
                <w:sz w:val="21"/>
                <w:szCs w:val="21"/>
              </w:rPr>
              <w:t xml:space="preserve">   ADF</w:t>
            </w:r>
          </w:p>
        </w:tc>
      </w:tr>
      <w:tr w:rsidR="000A21CD" w14:paraId="2F59389A"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0607163C" w14:textId="77777777" w:rsidR="000A21CD" w:rsidRPr="00F06A4C" w:rsidRDefault="000A21CD" w:rsidP="006D69F3">
            <w:pPr>
              <w:jc w:val="both"/>
              <w:rPr>
                <w:sz w:val="21"/>
                <w:szCs w:val="21"/>
              </w:rPr>
            </w:pPr>
            <w:r w:rsidRPr="00F06A4C">
              <w:rPr>
                <w:i/>
                <w:sz w:val="21"/>
                <w:szCs w:val="21"/>
              </w:rPr>
              <w:t xml:space="preserve">CAC      </w:t>
            </w:r>
          </w:p>
        </w:tc>
        <w:tc>
          <w:tcPr>
            <w:tcW w:w="966" w:type="dxa"/>
          </w:tcPr>
          <w:p w14:paraId="58ECA827"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0.0001</w:t>
            </w:r>
          </w:p>
        </w:tc>
        <w:tc>
          <w:tcPr>
            <w:tcW w:w="1134" w:type="dxa"/>
          </w:tcPr>
          <w:p w14:paraId="09FBCE64"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0.00017</w:t>
            </w:r>
          </w:p>
        </w:tc>
        <w:tc>
          <w:tcPr>
            <w:tcW w:w="992" w:type="dxa"/>
          </w:tcPr>
          <w:p w14:paraId="1C298D39"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9.9869</w:t>
            </w:r>
          </w:p>
        </w:tc>
        <w:tc>
          <w:tcPr>
            <w:tcW w:w="1165" w:type="dxa"/>
          </w:tcPr>
          <w:p w14:paraId="011B94B5"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166.65</w:t>
            </w:r>
          </w:p>
        </w:tc>
        <w:tc>
          <w:tcPr>
            <w:tcW w:w="1528" w:type="dxa"/>
          </w:tcPr>
          <w:p w14:paraId="1A24A4CB"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3.26E+06***</w:t>
            </w:r>
          </w:p>
        </w:tc>
        <w:tc>
          <w:tcPr>
            <w:tcW w:w="1276" w:type="dxa"/>
          </w:tcPr>
          <w:p w14:paraId="0AD2CCB4"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4818.41***</w:t>
            </w:r>
          </w:p>
        </w:tc>
        <w:tc>
          <w:tcPr>
            <w:tcW w:w="1134" w:type="dxa"/>
          </w:tcPr>
          <w:p w14:paraId="5403C2E9"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-8.10***</w:t>
            </w:r>
          </w:p>
        </w:tc>
      </w:tr>
      <w:tr w:rsidR="000A21CD" w14:paraId="412262E3"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0CDD46E9" w14:textId="77777777" w:rsidR="000A21CD" w:rsidRPr="00F06A4C" w:rsidRDefault="000A21CD" w:rsidP="006D69F3">
            <w:pPr>
              <w:jc w:val="both"/>
              <w:rPr>
                <w:sz w:val="21"/>
                <w:szCs w:val="21"/>
              </w:rPr>
            </w:pPr>
            <w:r w:rsidRPr="00F06A4C">
              <w:rPr>
                <w:sz w:val="21"/>
                <w:szCs w:val="21"/>
              </w:rPr>
              <w:t>gdaxi</w:t>
            </w:r>
          </w:p>
        </w:tc>
        <w:tc>
          <w:tcPr>
            <w:tcW w:w="966" w:type="dxa"/>
          </w:tcPr>
          <w:p w14:paraId="1FF61FC1"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0.0001</w:t>
            </w:r>
          </w:p>
        </w:tc>
        <w:tc>
          <w:tcPr>
            <w:tcW w:w="1134" w:type="dxa"/>
          </w:tcPr>
          <w:p w14:paraId="402CF10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0.00016</w:t>
            </w:r>
          </w:p>
        </w:tc>
        <w:tc>
          <w:tcPr>
            <w:tcW w:w="992" w:type="dxa"/>
          </w:tcPr>
          <w:p w14:paraId="17285392"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7.7792</w:t>
            </w:r>
          </w:p>
        </w:tc>
        <w:tc>
          <w:tcPr>
            <w:tcW w:w="1165" w:type="dxa"/>
          </w:tcPr>
          <w:p w14:paraId="011AC556"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91.942</w:t>
            </w:r>
          </w:p>
        </w:tc>
        <w:tc>
          <w:tcPr>
            <w:tcW w:w="1528" w:type="dxa"/>
          </w:tcPr>
          <w:p w14:paraId="7B1117AE"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1.007E+06***</w:t>
            </w:r>
          </w:p>
        </w:tc>
        <w:tc>
          <w:tcPr>
            <w:tcW w:w="1276" w:type="dxa"/>
          </w:tcPr>
          <w:p w14:paraId="59C66B31"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5225.84***</w:t>
            </w:r>
          </w:p>
        </w:tc>
        <w:tc>
          <w:tcPr>
            <w:tcW w:w="1134" w:type="dxa"/>
          </w:tcPr>
          <w:p w14:paraId="2C0B1B48"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-8.77***</w:t>
            </w:r>
          </w:p>
        </w:tc>
      </w:tr>
      <w:tr w:rsidR="000A21CD" w14:paraId="49D428F9"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5F386E1D" w14:textId="77777777" w:rsidR="000A21CD" w:rsidRPr="00F06A4C" w:rsidRDefault="000A21CD" w:rsidP="006D69F3">
            <w:pPr>
              <w:jc w:val="both"/>
              <w:rPr>
                <w:sz w:val="21"/>
                <w:szCs w:val="21"/>
              </w:rPr>
            </w:pPr>
            <w:r w:rsidRPr="0072212F">
              <w:rPr>
                <w:i/>
                <w:sz w:val="21"/>
                <w:szCs w:val="21"/>
              </w:rPr>
              <w:t>FTSE</w:t>
            </w:r>
            <w:r>
              <w:rPr>
                <w:i/>
                <w:sz w:val="21"/>
                <w:szCs w:val="21"/>
              </w:rPr>
              <w:t xml:space="preserve"> </w:t>
            </w:r>
          </w:p>
        </w:tc>
        <w:tc>
          <w:tcPr>
            <w:tcW w:w="966" w:type="dxa"/>
          </w:tcPr>
          <w:p w14:paraId="12E52B99"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9.6E-05</w:t>
            </w:r>
          </w:p>
        </w:tc>
        <w:tc>
          <w:tcPr>
            <w:tcW w:w="1134" w:type="dxa"/>
          </w:tcPr>
          <w:p w14:paraId="7CC656FC"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0.00023</w:t>
            </w:r>
          </w:p>
        </w:tc>
        <w:tc>
          <w:tcPr>
            <w:tcW w:w="992" w:type="dxa"/>
          </w:tcPr>
          <w:p w14:paraId="6003E98C"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16.637</w:t>
            </w:r>
          </w:p>
        </w:tc>
        <w:tc>
          <w:tcPr>
            <w:tcW w:w="1165" w:type="dxa"/>
          </w:tcPr>
          <w:p w14:paraId="11237E33"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392.73</w:t>
            </w:r>
          </w:p>
        </w:tc>
        <w:tc>
          <w:tcPr>
            <w:tcW w:w="1528" w:type="dxa"/>
          </w:tcPr>
          <w:p w14:paraId="19AD11F1"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1.79E+07***</w:t>
            </w:r>
          </w:p>
        </w:tc>
        <w:tc>
          <w:tcPr>
            <w:tcW w:w="1276" w:type="dxa"/>
          </w:tcPr>
          <w:p w14:paraId="1F9612DC"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2035.20***</w:t>
            </w:r>
          </w:p>
        </w:tc>
        <w:tc>
          <w:tcPr>
            <w:tcW w:w="1134" w:type="dxa"/>
          </w:tcPr>
          <w:p w14:paraId="5B5E4043"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-10.3***</w:t>
            </w:r>
          </w:p>
        </w:tc>
      </w:tr>
      <w:tr w:rsidR="000A21CD" w14:paraId="10B40D97"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6B34C21B" w14:textId="77777777" w:rsidR="000A21CD" w:rsidRPr="00F06A4C" w:rsidRDefault="000A21CD" w:rsidP="006D69F3">
            <w:pPr>
              <w:jc w:val="both"/>
              <w:rPr>
                <w:sz w:val="21"/>
                <w:szCs w:val="21"/>
              </w:rPr>
            </w:pPr>
            <w:r w:rsidRPr="0072212F">
              <w:rPr>
                <w:i/>
                <w:sz w:val="21"/>
                <w:szCs w:val="21"/>
              </w:rPr>
              <w:t>FTMIB</w:t>
            </w:r>
          </w:p>
        </w:tc>
        <w:tc>
          <w:tcPr>
            <w:tcW w:w="966" w:type="dxa"/>
          </w:tcPr>
          <w:p w14:paraId="620763FE"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0.0001</w:t>
            </w:r>
          </w:p>
        </w:tc>
        <w:tc>
          <w:tcPr>
            <w:tcW w:w="1134" w:type="dxa"/>
          </w:tcPr>
          <w:p w14:paraId="5093ED8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0.00016</w:t>
            </w:r>
          </w:p>
        </w:tc>
        <w:tc>
          <w:tcPr>
            <w:tcW w:w="992" w:type="dxa"/>
          </w:tcPr>
          <w:p w14:paraId="560D11B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6.5410</w:t>
            </w:r>
          </w:p>
        </w:tc>
        <w:tc>
          <w:tcPr>
            <w:tcW w:w="1165" w:type="dxa"/>
          </w:tcPr>
          <w:p w14:paraId="4E6E5F7E"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66.618</w:t>
            </w:r>
          </w:p>
        </w:tc>
        <w:tc>
          <w:tcPr>
            <w:tcW w:w="1528" w:type="dxa"/>
          </w:tcPr>
          <w:p w14:paraId="7B524AD3"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533886***</w:t>
            </w:r>
          </w:p>
        </w:tc>
        <w:tc>
          <w:tcPr>
            <w:tcW w:w="1276" w:type="dxa"/>
          </w:tcPr>
          <w:p w14:paraId="1F0D69A1"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4674.88***</w:t>
            </w:r>
          </w:p>
        </w:tc>
        <w:tc>
          <w:tcPr>
            <w:tcW w:w="1134" w:type="dxa"/>
          </w:tcPr>
          <w:p w14:paraId="609A0B65"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-6.32***</w:t>
            </w:r>
          </w:p>
        </w:tc>
      </w:tr>
      <w:tr w:rsidR="000A21CD" w14:paraId="7A82A7A2"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667A22E9" w14:textId="77777777" w:rsidR="000A21CD" w:rsidRPr="0072212F" w:rsidRDefault="000A21CD" w:rsidP="006D69F3">
            <w:pPr>
              <w:jc w:val="both"/>
              <w:rPr>
                <w:i/>
                <w:sz w:val="21"/>
                <w:szCs w:val="21"/>
              </w:rPr>
            </w:pPr>
            <w:r>
              <w:rPr>
                <w:i/>
                <w:sz w:val="21"/>
                <w:szCs w:val="21"/>
              </w:rPr>
              <w:t>NIKKEI</w:t>
            </w:r>
          </w:p>
        </w:tc>
        <w:tc>
          <w:tcPr>
            <w:tcW w:w="966" w:type="dxa"/>
          </w:tcPr>
          <w:p w14:paraId="769A224D"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7.5E-05</w:t>
            </w:r>
          </w:p>
        </w:tc>
        <w:tc>
          <w:tcPr>
            <w:tcW w:w="1134" w:type="dxa"/>
          </w:tcPr>
          <w:p w14:paraId="1222E620"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0.00015</w:t>
            </w:r>
          </w:p>
        </w:tc>
        <w:tc>
          <w:tcPr>
            <w:tcW w:w="992" w:type="dxa"/>
          </w:tcPr>
          <w:p w14:paraId="5FE320BB"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11.574</w:t>
            </w:r>
          </w:p>
        </w:tc>
        <w:tc>
          <w:tcPr>
            <w:tcW w:w="1165" w:type="dxa"/>
          </w:tcPr>
          <w:p w14:paraId="276B8E3C"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197.14</w:t>
            </w:r>
          </w:p>
        </w:tc>
        <w:tc>
          <w:tcPr>
            <w:tcW w:w="1528" w:type="dxa"/>
          </w:tcPr>
          <w:p w14:paraId="643C67A4"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4.56E+06***</w:t>
            </w:r>
          </w:p>
        </w:tc>
        <w:tc>
          <w:tcPr>
            <w:tcW w:w="1276" w:type="dxa"/>
          </w:tcPr>
          <w:p w14:paraId="7C60E23B"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1660.67***</w:t>
            </w:r>
          </w:p>
        </w:tc>
        <w:tc>
          <w:tcPr>
            <w:tcW w:w="1134" w:type="dxa"/>
          </w:tcPr>
          <w:p w14:paraId="2BD3E19A"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-9.55***</w:t>
            </w:r>
          </w:p>
        </w:tc>
      </w:tr>
      <w:tr w:rsidR="000A21CD" w14:paraId="10930410" w14:textId="77777777" w:rsidTr="006D6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dxa"/>
          </w:tcPr>
          <w:p w14:paraId="0165F821" w14:textId="77777777" w:rsidR="000A21CD" w:rsidRDefault="000A21CD" w:rsidP="006D69F3">
            <w:pPr>
              <w:jc w:val="both"/>
              <w:rPr>
                <w:i/>
                <w:sz w:val="21"/>
                <w:szCs w:val="21"/>
              </w:rPr>
            </w:pPr>
            <w:r w:rsidRPr="0072212F">
              <w:rPr>
                <w:i/>
                <w:sz w:val="21"/>
                <w:szCs w:val="21"/>
              </w:rPr>
              <w:t>SP</w:t>
            </w:r>
            <w:r>
              <w:rPr>
                <w:i/>
                <w:sz w:val="21"/>
                <w:szCs w:val="21"/>
              </w:rPr>
              <w:t>TSX</w:t>
            </w:r>
          </w:p>
        </w:tc>
        <w:tc>
          <w:tcPr>
            <w:tcW w:w="966" w:type="dxa"/>
          </w:tcPr>
          <w:p w14:paraId="3FECAA48"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5.5E-05</w:t>
            </w:r>
          </w:p>
        </w:tc>
        <w:tc>
          <w:tcPr>
            <w:tcW w:w="1134" w:type="dxa"/>
          </w:tcPr>
          <w:p w14:paraId="754D7102"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0.00013</w:t>
            </w:r>
          </w:p>
        </w:tc>
        <w:tc>
          <w:tcPr>
            <w:tcW w:w="992" w:type="dxa"/>
          </w:tcPr>
          <w:p w14:paraId="36F551C3"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14.468</w:t>
            </w:r>
          </w:p>
        </w:tc>
        <w:tc>
          <w:tcPr>
            <w:tcW w:w="1165" w:type="dxa"/>
          </w:tcPr>
          <w:p w14:paraId="7C4E7F60"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308.73</w:t>
            </w:r>
          </w:p>
        </w:tc>
        <w:tc>
          <w:tcPr>
            <w:tcW w:w="1528" w:type="dxa"/>
          </w:tcPr>
          <w:p w14:paraId="6A798866"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1.11E+07***</w:t>
            </w:r>
          </w:p>
        </w:tc>
        <w:tc>
          <w:tcPr>
            <w:tcW w:w="1276" w:type="dxa"/>
          </w:tcPr>
          <w:p w14:paraId="53729B14"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2497.40***</w:t>
            </w:r>
          </w:p>
        </w:tc>
        <w:tc>
          <w:tcPr>
            <w:tcW w:w="1134" w:type="dxa"/>
          </w:tcPr>
          <w:p w14:paraId="6EB428ED" w14:textId="77777777" w:rsidR="000A21CD" w:rsidRPr="00F06A4C" w:rsidRDefault="000A21CD" w:rsidP="006D69F3">
            <w:pPr>
              <w:jc w:val="both"/>
              <w:cnfStyle w:val="000000100000" w:firstRow="0" w:lastRow="0" w:firstColumn="0" w:lastColumn="0" w:oddVBand="0" w:evenVBand="0" w:oddHBand="1" w:evenHBand="0" w:firstRowFirstColumn="0" w:firstRowLastColumn="0" w:lastRowFirstColumn="0" w:lastRowLastColumn="0"/>
              <w:rPr>
                <w:sz w:val="21"/>
                <w:szCs w:val="21"/>
              </w:rPr>
            </w:pPr>
            <w:r>
              <w:rPr>
                <w:sz w:val="21"/>
                <w:szCs w:val="21"/>
              </w:rPr>
              <w:t>-10.4***</w:t>
            </w:r>
          </w:p>
        </w:tc>
      </w:tr>
      <w:tr w:rsidR="000A21CD" w14:paraId="2B3317C7" w14:textId="77777777" w:rsidTr="006D69F3">
        <w:tc>
          <w:tcPr>
            <w:cnfStyle w:val="001000000000" w:firstRow="0" w:lastRow="0" w:firstColumn="1" w:lastColumn="0" w:oddVBand="0" w:evenVBand="0" w:oddHBand="0" w:evenHBand="0" w:firstRowFirstColumn="0" w:firstRowLastColumn="0" w:lastRowFirstColumn="0" w:lastRowLastColumn="0"/>
            <w:tcW w:w="1161" w:type="dxa"/>
          </w:tcPr>
          <w:p w14:paraId="730F85F1" w14:textId="77777777" w:rsidR="000A21CD" w:rsidRPr="0072212F" w:rsidRDefault="000A21CD" w:rsidP="006D69F3">
            <w:pPr>
              <w:jc w:val="both"/>
              <w:rPr>
                <w:i/>
                <w:sz w:val="21"/>
                <w:szCs w:val="21"/>
              </w:rPr>
            </w:pPr>
            <w:r>
              <w:rPr>
                <w:i/>
                <w:sz w:val="21"/>
                <w:szCs w:val="21"/>
              </w:rPr>
              <w:t>SPX</w:t>
            </w:r>
          </w:p>
        </w:tc>
        <w:tc>
          <w:tcPr>
            <w:tcW w:w="966" w:type="dxa"/>
          </w:tcPr>
          <w:p w14:paraId="35926E3B"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7.9E-05</w:t>
            </w:r>
          </w:p>
        </w:tc>
        <w:tc>
          <w:tcPr>
            <w:tcW w:w="1134" w:type="dxa"/>
          </w:tcPr>
          <w:p w14:paraId="4D9B94B1"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0.00019</w:t>
            </w:r>
          </w:p>
        </w:tc>
        <w:tc>
          <w:tcPr>
            <w:tcW w:w="992" w:type="dxa"/>
          </w:tcPr>
          <w:p w14:paraId="64A41A2C"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10.893</w:t>
            </w:r>
          </w:p>
        </w:tc>
        <w:tc>
          <w:tcPr>
            <w:tcW w:w="1165" w:type="dxa"/>
          </w:tcPr>
          <w:p w14:paraId="068CFBF4"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167.64</w:t>
            </w:r>
          </w:p>
        </w:tc>
        <w:tc>
          <w:tcPr>
            <w:tcW w:w="1528" w:type="dxa"/>
          </w:tcPr>
          <w:p w14:paraId="69AA7DAE"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3.31E+06***</w:t>
            </w:r>
          </w:p>
        </w:tc>
        <w:tc>
          <w:tcPr>
            <w:tcW w:w="1276" w:type="dxa"/>
          </w:tcPr>
          <w:p w14:paraId="4CA46556"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4015.42***</w:t>
            </w:r>
          </w:p>
        </w:tc>
        <w:tc>
          <w:tcPr>
            <w:tcW w:w="1134" w:type="dxa"/>
          </w:tcPr>
          <w:p w14:paraId="59D06803" w14:textId="77777777" w:rsidR="000A21CD" w:rsidRPr="00F06A4C" w:rsidRDefault="000A21CD" w:rsidP="006D69F3">
            <w:pPr>
              <w:jc w:val="both"/>
              <w:cnfStyle w:val="000000000000" w:firstRow="0" w:lastRow="0" w:firstColumn="0" w:lastColumn="0" w:oddVBand="0" w:evenVBand="0" w:oddHBand="0" w:evenHBand="0" w:firstRowFirstColumn="0" w:firstRowLastColumn="0" w:lastRowFirstColumn="0" w:lastRowLastColumn="0"/>
              <w:rPr>
                <w:sz w:val="21"/>
                <w:szCs w:val="21"/>
              </w:rPr>
            </w:pPr>
            <w:r>
              <w:rPr>
                <w:sz w:val="21"/>
                <w:szCs w:val="21"/>
              </w:rPr>
              <w:t>-9.03***</w:t>
            </w:r>
          </w:p>
        </w:tc>
      </w:tr>
    </w:tbl>
    <w:p w14:paraId="6223FB37" w14:textId="77777777" w:rsidR="000A21CD" w:rsidRPr="001A5970" w:rsidRDefault="000A21CD" w:rsidP="000A21CD">
      <w:pPr>
        <w:jc w:val="both"/>
        <w:rPr>
          <w:i/>
          <w:sz w:val="18"/>
          <w:szCs w:val="18"/>
        </w:rPr>
      </w:pPr>
      <w:r w:rsidRPr="001A5970">
        <w:rPr>
          <w:b/>
          <w:i/>
          <w:sz w:val="18"/>
          <w:szCs w:val="18"/>
        </w:rPr>
        <w:t xml:space="preserve">Note: </w:t>
      </w:r>
      <w:r w:rsidRPr="001A5970">
        <w:rPr>
          <w:i/>
          <w:sz w:val="18"/>
          <w:szCs w:val="18"/>
        </w:rPr>
        <w:t>Asterisk *, **, and *** denote rejections of null hypothesis at 10%, 5%, and 1% significance levels, respectively. The null hypothesis of the third and fourth moments are “Skewness = 0” and “Excess Kurtosis = 3”.</w:t>
      </w:r>
    </w:p>
    <w:p w14:paraId="3C4DECD7" w14:textId="77777777" w:rsidR="00B76CA3" w:rsidRDefault="00B76CA3">
      <w:pPr>
        <w:rPr>
          <w:b/>
        </w:rPr>
      </w:pPr>
    </w:p>
    <w:p w14:paraId="20F63DC7" w14:textId="745199F9" w:rsidR="00B76CA3" w:rsidRDefault="00B76CA3">
      <w:pPr>
        <w:rPr>
          <w:b/>
        </w:rPr>
      </w:pPr>
    </w:p>
    <w:p w14:paraId="798CD360" w14:textId="2A95F5B3" w:rsidR="00B76CA3" w:rsidRDefault="00B76CA3">
      <w:pPr>
        <w:rPr>
          <w:b/>
        </w:rPr>
      </w:pPr>
    </w:p>
    <w:p w14:paraId="55FF9630" w14:textId="77777777" w:rsidR="00B76CA3" w:rsidRDefault="00B76CA3">
      <w:pPr>
        <w:rPr>
          <w:b/>
        </w:rPr>
      </w:pPr>
    </w:p>
    <w:p w14:paraId="56243774" w14:textId="77777777" w:rsidR="00913B60" w:rsidRDefault="000A7F4F">
      <w:pPr>
        <w:rPr>
          <w:b/>
        </w:rPr>
      </w:pPr>
      <w:r>
        <w:rPr>
          <w:b/>
        </w:rPr>
        <w:t> </w:t>
      </w:r>
    </w:p>
    <w:tbl>
      <w:tblPr>
        <w:tblStyle w:val="PlainTable3"/>
        <w:tblW w:w="0" w:type="auto"/>
        <w:tblLook w:val="04A0" w:firstRow="1" w:lastRow="0" w:firstColumn="1" w:lastColumn="0" w:noHBand="0" w:noVBand="1"/>
      </w:tblPr>
      <w:tblGrid>
        <w:gridCol w:w="1418"/>
        <w:gridCol w:w="3557"/>
        <w:gridCol w:w="1250"/>
        <w:gridCol w:w="2795"/>
      </w:tblGrid>
      <w:tr w:rsidR="00913B60" w:rsidRPr="00311157" w14:paraId="140D0101" w14:textId="77777777" w:rsidTr="00A44A5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20" w:type="dxa"/>
            <w:gridSpan w:val="4"/>
          </w:tcPr>
          <w:p w14:paraId="3414910A" w14:textId="3BDBA1E6" w:rsidR="00913B60" w:rsidRPr="00311157" w:rsidRDefault="00A464E0">
            <w:pPr>
              <w:rPr>
                <w:b w:val="0"/>
              </w:rPr>
            </w:pPr>
            <w:r w:rsidRPr="00311157">
              <w:rPr>
                <w:b w:val="0"/>
              </w:rPr>
              <w:t xml:space="preserve">Table 2. </w:t>
            </w:r>
            <w:r w:rsidR="00913B60" w:rsidRPr="00311157">
              <w:rPr>
                <w:b w:val="0"/>
              </w:rPr>
              <w:t xml:space="preserve">list of models (and indices) names and abbreviations </w:t>
            </w:r>
          </w:p>
        </w:tc>
      </w:tr>
      <w:tr w:rsidR="00913B60" w:rsidRPr="00311157" w14:paraId="78439ACC" w14:textId="77777777" w:rsidTr="00913B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51EC4B12" w14:textId="21B784AD" w:rsidR="00913B60" w:rsidRPr="00311157" w:rsidRDefault="00913B60" w:rsidP="00913B60">
            <w:pPr>
              <w:rPr>
                <w:b w:val="0"/>
                <w:sz w:val="21"/>
                <w:szCs w:val="21"/>
              </w:rPr>
            </w:pPr>
            <w:r w:rsidRPr="00311157">
              <w:rPr>
                <w:sz w:val="21"/>
                <w:szCs w:val="21"/>
              </w:rPr>
              <w:t>HAR-RV</w:t>
            </w:r>
          </w:p>
        </w:tc>
        <w:tc>
          <w:tcPr>
            <w:tcW w:w="3557" w:type="dxa"/>
          </w:tcPr>
          <w:p w14:paraId="7108C4DB" w14:textId="52B30FE1"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pPr>
            <w:r w:rsidRPr="00311157">
              <w:t>Heterogeneous Autoregressive Model of Realized Variance</w:t>
            </w:r>
          </w:p>
        </w:tc>
        <w:tc>
          <w:tcPr>
            <w:tcW w:w="1250" w:type="dxa"/>
          </w:tcPr>
          <w:p w14:paraId="78750529" w14:textId="5A3F3254"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rPr>
                <w:b/>
                <w:sz w:val="21"/>
                <w:szCs w:val="21"/>
              </w:rPr>
            </w:pPr>
            <w:r w:rsidRPr="00311157">
              <w:rPr>
                <w:b/>
                <w:sz w:val="21"/>
                <w:szCs w:val="21"/>
              </w:rPr>
              <w:t>CAC</w:t>
            </w:r>
          </w:p>
        </w:tc>
        <w:tc>
          <w:tcPr>
            <w:tcW w:w="2795" w:type="dxa"/>
          </w:tcPr>
          <w:p w14:paraId="3C53DC9F" w14:textId="4355CAB2"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pPr>
            <w:r w:rsidRPr="00311157">
              <w:t xml:space="preserve">France CAC40 </w:t>
            </w:r>
          </w:p>
        </w:tc>
      </w:tr>
      <w:tr w:rsidR="00913B60" w:rsidRPr="00311157" w14:paraId="66670F7B" w14:textId="77777777" w:rsidTr="00913B60">
        <w:tc>
          <w:tcPr>
            <w:cnfStyle w:val="001000000000" w:firstRow="0" w:lastRow="0" w:firstColumn="1" w:lastColumn="0" w:oddVBand="0" w:evenVBand="0" w:oddHBand="0" w:evenHBand="0" w:firstRowFirstColumn="0" w:firstRowLastColumn="0" w:lastRowFirstColumn="0" w:lastRowLastColumn="0"/>
            <w:tcW w:w="1418" w:type="dxa"/>
          </w:tcPr>
          <w:p w14:paraId="5496788C" w14:textId="1869A3B0" w:rsidR="00913B60" w:rsidRPr="00311157" w:rsidRDefault="00913B60" w:rsidP="00913B60">
            <w:pPr>
              <w:rPr>
                <w:b w:val="0"/>
                <w:sz w:val="21"/>
                <w:szCs w:val="21"/>
              </w:rPr>
            </w:pPr>
            <w:r w:rsidRPr="00311157">
              <w:rPr>
                <w:sz w:val="21"/>
                <w:szCs w:val="21"/>
              </w:rPr>
              <w:t>HAR-RV-ONV</w:t>
            </w:r>
          </w:p>
        </w:tc>
        <w:tc>
          <w:tcPr>
            <w:tcW w:w="3557" w:type="dxa"/>
          </w:tcPr>
          <w:p w14:paraId="2B9B7731" w14:textId="1EB910C7" w:rsidR="00913B60" w:rsidRPr="00311157" w:rsidRDefault="00913B60" w:rsidP="00913B60">
            <w:pPr>
              <w:cnfStyle w:val="000000000000" w:firstRow="0" w:lastRow="0" w:firstColumn="0" w:lastColumn="0" w:oddVBand="0" w:evenVBand="0" w:oddHBand="0" w:evenHBand="0" w:firstRowFirstColumn="0" w:firstRowLastColumn="0" w:lastRowFirstColumn="0" w:lastRowLastColumn="0"/>
            </w:pPr>
            <w:r w:rsidRPr="00311157">
              <w:t>HAR-RV-Overnight Volatility</w:t>
            </w:r>
          </w:p>
        </w:tc>
        <w:tc>
          <w:tcPr>
            <w:tcW w:w="1250" w:type="dxa"/>
          </w:tcPr>
          <w:p w14:paraId="06384E99" w14:textId="6F21F568" w:rsidR="00913B60" w:rsidRPr="00311157" w:rsidRDefault="00913B60" w:rsidP="00913B60">
            <w:pPr>
              <w:cnfStyle w:val="000000000000" w:firstRow="0" w:lastRow="0" w:firstColumn="0" w:lastColumn="0" w:oddVBand="0" w:evenVBand="0" w:oddHBand="0" w:evenHBand="0" w:firstRowFirstColumn="0" w:firstRowLastColumn="0" w:lastRowFirstColumn="0" w:lastRowLastColumn="0"/>
              <w:rPr>
                <w:b/>
                <w:sz w:val="21"/>
                <w:szCs w:val="21"/>
              </w:rPr>
            </w:pPr>
            <w:r w:rsidRPr="00311157">
              <w:rPr>
                <w:b/>
                <w:sz w:val="21"/>
                <w:szCs w:val="21"/>
              </w:rPr>
              <w:t>DAX</w:t>
            </w:r>
          </w:p>
        </w:tc>
        <w:tc>
          <w:tcPr>
            <w:tcW w:w="2795" w:type="dxa"/>
          </w:tcPr>
          <w:p w14:paraId="392BF51C" w14:textId="45F048ED" w:rsidR="00913B60" w:rsidRPr="00311157" w:rsidRDefault="00913B60" w:rsidP="00913B60">
            <w:pPr>
              <w:cnfStyle w:val="000000000000" w:firstRow="0" w:lastRow="0" w:firstColumn="0" w:lastColumn="0" w:oddVBand="0" w:evenVBand="0" w:oddHBand="0" w:evenHBand="0" w:firstRowFirstColumn="0" w:firstRowLastColumn="0" w:lastRowFirstColumn="0" w:lastRowLastColumn="0"/>
            </w:pPr>
            <w:r w:rsidRPr="00311157">
              <w:t xml:space="preserve">Germany DAX30 </w:t>
            </w:r>
          </w:p>
        </w:tc>
      </w:tr>
      <w:tr w:rsidR="00913B60" w:rsidRPr="00311157" w14:paraId="4889D4B2" w14:textId="77777777" w:rsidTr="00913B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1AC9D97F" w14:textId="27B94B50" w:rsidR="00913B60" w:rsidRPr="00311157" w:rsidRDefault="00913B60" w:rsidP="00913B60">
            <w:pPr>
              <w:rPr>
                <w:b w:val="0"/>
                <w:sz w:val="21"/>
                <w:szCs w:val="21"/>
              </w:rPr>
            </w:pPr>
            <w:r w:rsidRPr="00311157">
              <w:rPr>
                <w:sz w:val="21"/>
                <w:szCs w:val="21"/>
              </w:rPr>
              <w:t>HAR-RV-CC</w:t>
            </w:r>
          </w:p>
        </w:tc>
        <w:tc>
          <w:tcPr>
            <w:tcW w:w="3557" w:type="dxa"/>
          </w:tcPr>
          <w:p w14:paraId="4CA9A19F" w14:textId="36855BB4"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pPr>
            <w:r w:rsidRPr="00311157">
              <w:t>HAR-RV-Close-to-Close Volatility</w:t>
            </w:r>
            <w:r w:rsidR="00401F76" w:rsidRPr="00311157">
              <w:t>, Brooks et al. (2000)</w:t>
            </w:r>
          </w:p>
        </w:tc>
        <w:tc>
          <w:tcPr>
            <w:tcW w:w="1250" w:type="dxa"/>
          </w:tcPr>
          <w:p w14:paraId="22AA2B5A" w14:textId="27F959A2"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rPr>
                <w:b/>
                <w:sz w:val="21"/>
                <w:szCs w:val="21"/>
              </w:rPr>
            </w:pPr>
            <w:r w:rsidRPr="00311157">
              <w:rPr>
                <w:b/>
                <w:sz w:val="21"/>
                <w:szCs w:val="21"/>
              </w:rPr>
              <w:t>FTSE</w:t>
            </w:r>
          </w:p>
        </w:tc>
        <w:tc>
          <w:tcPr>
            <w:tcW w:w="2795" w:type="dxa"/>
          </w:tcPr>
          <w:p w14:paraId="754DE652" w14:textId="522C564A"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pPr>
            <w:r w:rsidRPr="00311157">
              <w:t>United Kingdom FTSE100</w:t>
            </w:r>
          </w:p>
        </w:tc>
      </w:tr>
      <w:tr w:rsidR="00913B60" w:rsidRPr="00311157" w14:paraId="2148CAA4" w14:textId="77777777" w:rsidTr="00913B60">
        <w:tc>
          <w:tcPr>
            <w:cnfStyle w:val="001000000000" w:firstRow="0" w:lastRow="0" w:firstColumn="1" w:lastColumn="0" w:oddVBand="0" w:evenVBand="0" w:oddHBand="0" w:evenHBand="0" w:firstRowFirstColumn="0" w:firstRowLastColumn="0" w:lastRowFirstColumn="0" w:lastRowLastColumn="0"/>
            <w:tcW w:w="1418" w:type="dxa"/>
          </w:tcPr>
          <w:p w14:paraId="6AB182B5" w14:textId="0A8B14A2" w:rsidR="00913B60" w:rsidRPr="00311157" w:rsidRDefault="00913B60" w:rsidP="00913B60">
            <w:pPr>
              <w:rPr>
                <w:b w:val="0"/>
                <w:sz w:val="21"/>
                <w:szCs w:val="21"/>
              </w:rPr>
            </w:pPr>
            <w:r w:rsidRPr="00311157">
              <w:rPr>
                <w:sz w:val="21"/>
                <w:szCs w:val="21"/>
              </w:rPr>
              <w:t>HAR-RV-PK</w:t>
            </w:r>
          </w:p>
        </w:tc>
        <w:tc>
          <w:tcPr>
            <w:tcW w:w="3557" w:type="dxa"/>
          </w:tcPr>
          <w:p w14:paraId="36F055FC" w14:textId="69CA112F" w:rsidR="00913B60" w:rsidRPr="00311157" w:rsidRDefault="00913B60" w:rsidP="00913B60">
            <w:pPr>
              <w:cnfStyle w:val="000000000000" w:firstRow="0" w:lastRow="0" w:firstColumn="0" w:lastColumn="0" w:oddVBand="0" w:evenVBand="0" w:oddHBand="0" w:evenHBand="0" w:firstRowFirstColumn="0" w:firstRowLastColumn="0" w:lastRowFirstColumn="0" w:lastRowLastColumn="0"/>
            </w:pPr>
            <w:r w:rsidRPr="00311157">
              <w:t>HAR-RV-Parkinson</w:t>
            </w:r>
            <w:r w:rsidR="00401F76" w:rsidRPr="00311157">
              <w:t>, Parkinson (1980)</w:t>
            </w:r>
          </w:p>
        </w:tc>
        <w:tc>
          <w:tcPr>
            <w:tcW w:w="1250" w:type="dxa"/>
          </w:tcPr>
          <w:p w14:paraId="3D1F8488" w14:textId="2E324EB6" w:rsidR="00913B60" w:rsidRPr="00311157" w:rsidRDefault="00913B60" w:rsidP="00913B60">
            <w:pPr>
              <w:cnfStyle w:val="000000000000" w:firstRow="0" w:lastRow="0" w:firstColumn="0" w:lastColumn="0" w:oddVBand="0" w:evenVBand="0" w:oddHBand="0" w:evenHBand="0" w:firstRowFirstColumn="0" w:firstRowLastColumn="0" w:lastRowFirstColumn="0" w:lastRowLastColumn="0"/>
              <w:rPr>
                <w:b/>
                <w:sz w:val="21"/>
                <w:szCs w:val="21"/>
              </w:rPr>
            </w:pPr>
            <w:r w:rsidRPr="00311157">
              <w:rPr>
                <w:b/>
                <w:sz w:val="21"/>
                <w:szCs w:val="21"/>
              </w:rPr>
              <w:t>FTSEMIB</w:t>
            </w:r>
          </w:p>
        </w:tc>
        <w:tc>
          <w:tcPr>
            <w:tcW w:w="2795" w:type="dxa"/>
          </w:tcPr>
          <w:p w14:paraId="7D2C2307" w14:textId="4E9B712A" w:rsidR="00913B60" w:rsidRPr="00311157" w:rsidRDefault="00913B60" w:rsidP="00913B60">
            <w:pPr>
              <w:cnfStyle w:val="000000000000" w:firstRow="0" w:lastRow="0" w:firstColumn="0" w:lastColumn="0" w:oddVBand="0" w:evenVBand="0" w:oddHBand="0" w:evenHBand="0" w:firstRowFirstColumn="0" w:firstRowLastColumn="0" w:lastRowFirstColumn="0" w:lastRowLastColumn="0"/>
            </w:pPr>
            <w:r w:rsidRPr="00311157">
              <w:t xml:space="preserve">Italy FTSE MIB </w:t>
            </w:r>
          </w:p>
        </w:tc>
      </w:tr>
      <w:tr w:rsidR="00913B60" w:rsidRPr="00311157" w14:paraId="35658FB4" w14:textId="77777777" w:rsidTr="00913B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0092BC3D" w14:textId="14A332CB" w:rsidR="00913B60" w:rsidRPr="00311157" w:rsidRDefault="00913B60" w:rsidP="00913B60">
            <w:pPr>
              <w:rPr>
                <w:b w:val="0"/>
                <w:sz w:val="21"/>
                <w:szCs w:val="21"/>
              </w:rPr>
            </w:pPr>
            <w:r w:rsidRPr="00311157">
              <w:rPr>
                <w:sz w:val="21"/>
                <w:szCs w:val="21"/>
              </w:rPr>
              <w:t>HAR-RV-GK</w:t>
            </w:r>
          </w:p>
        </w:tc>
        <w:tc>
          <w:tcPr>
            <w:tcW w:w="3557" w:type="dxa"/>
          </w:tcPr>
          <w:p w14:paraId="184C2EA7" w14:textId="0F9F22F2"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pPr>
            <w:r w:rsidRPr="00311157">
              <w:t>HAR-RV-Garman-</w:t>
            </w:r>
            <w:proofErr w:type="spellStart"/>
            <w:r w:rsidRPr="00311157">
              <w:t>Klass</w:t>
            </w:r>
            <w:proofErr w:type="spellEnd"/>
            <w:r w:rsidR="00401F76" w:rsidRPr="00311157">
              <w:t xml:space="preserve">, Garman and </w:t>
            </w:r>
            <w:proofErr w:type="spellStart"/>
            <w:r w:rsidR="00401F76" w:rsidRPr="00311157">
              <w:t>Klass</w:t>
            </w:r>
            <w:proofErr w:type="spellEnd"/>
            <w:r w:rsidR="00401F76" w:rsidRPr="00311157">
              <w:t xml:space="preserve"> (1980)</w:t>
            </w:r>
          </w:p>
        </w:tc>
        <w:tc>
          <w:tcPr>
            <w:tcW w:w="1250" w:type="dxa"/>
          </w:tcPr>
          <w:p w14:paraId="3DA682E1" w14:textId="5D61F2E0"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rPr>
                <w:b/>
                <w:sz w:val="21"/>
                <w:szCs w:val="21"/>
              </w:rPr>
            </w:pPr>
            <w:r w:rsidRPr="00311157">
              <w:rPr>
                <w:b/>
                <w:sz w:val="21"/>
                <w:szCs w:val="21"/>
              </w:rPr>
              <w:t>NIKKEI</w:t>
            </w:r>
          </w:p>
        </w:tc>
        <w:tc>
          <w:tcPr>
            <w:tcW w:w="2795" w:type="dxa"/>
          </w:tcPr>
          <w:p w14:paraId="37F7B849" w14:textId="73DFECBE"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pPr>
            <w:r w:rsidRPr="00311157">
              <w:t>Japan NIKKEI 225</w:t>
            </w:r>
          </w:p>
        </w:tc>
      </w:tr>
      <w:tr w:rsidR="00913B60" w:rsidRPr="00311157" w14:paraId="3AC2A058" w14:textId="77777777" w:rsidTr="00913B60">
        <w:tc>
          <w:tcPr>
            <w:cnfStyle w:val="001000000000" w:firstRow="0" w:lastRow="0" w:firstColumn="1" w:lastColumn="0" w:oddVBand="0" w:evenVBand="0" w:oddHBand="0" w:evenHBand="0" w:firstRowFirstColumn="0" w:firstRowLastColumn="0" w:lastRowFirstColumn="0" w:lastRowLastColumn="0"/>
            <w:tcW w:w="1418" w:type="dxa"/>
          </w:tcPr>
          <w:p w14:paraId="1446B54D" w14:textId="53E0421A" w:rsidR="00913B60" w:rsidRPr="00311157" w:rsidRDefault="00913B60" w:rsidP="00913B60">
            <w:pPr>
              <w:rPr>
                <w:b w:val="0"/>
                <w:sz w:val="21"/>
                <w:szCs w:val="21"/>
              </w:rPr>
            </w:pPr>
            <w:r w:rsidRPr="00311157">
              <w:rPr>
                <w:sz w:val="21"/>
                <w:szCs w:val="21"/>
              </w:rPr>
              <w:t>HAR-RV-RS</w:t>
            </w:r>
          </w:p>
        </w:tc>
        <w:tc>
          <w:tcPr>
            <w:tcW w:w="3557" w:type="dxa"/>
          </w:tcPr>
          <w:p w14:paraId="77A5F454" w14:textId="2244D251" w:rsidR="00913B60" w:rsidRPr="00311157" w:rsidRDefault="00913B60" w:rsidP="00913B60">
            <w:pPr>
              <w:cnfStyle w:val="000000000000" w:firstRow="0" w:lastRow="0" w:firstColumn="0" w:lastColumn="0" w:oddVBand="0" w:evenVBand="0" w:oddHBand="0" w:evenHBand="0" w:firstRowFirstColumn="0" w:firstRowLastColumn="0" w:lastRowFirstColumn="0" w:lastRowLastColumn="0"/>
            </w:pPr>
            <w:r w:rsidRPr="00311157">
              <w:t>HAR-RV-Rogers-Satchell</w:t>
            </w:r>
            <w:r w:rsidR="00401F76" w:rsidRPr="00311157">
              <w:t xml:space="preserve">, </w:t>
            </w:r>
            <w:proofErr w:type="gramStart"/>
            <w:r w:rsidR="00401F76" w:rsidRPr="00311157">
              <w:t>Rogers</w:t>
            </w:r>
            <w:proofErr w:type="gramEnd"/>
            <w:r w:rsidR="00401F76" w:rsidRPr="00311157">
              <w:t xml:space="preserve"> and Satchell (1991)</w:t>
            </w:r>
          </w:p>
        </w:tc>
        <w:tc>
          <w:tcPr>
            <w:tcW w:w="1250" w:type="dxa"/>
          </w:tcPr>
          <w:p w14:paraId="349B44E9" w14:textId="7612AD16" w:rsidR="00913B60" w:rsidRPr="00311157" w:rsidRDefault="00913B60" w:rsidP="00913B60">
            <w:pPr>
              <w:cnfStyle w:val="000000000000" w:firstRow="0" w:lastRow="0" w:firstColumn="0" w:lastColumn="0" w:oddVBand="0" w:evenVBand="0" w:oddHBand="0" w:evenHBand="0" w:firstRowFirstColumn="0" w:firstRowLastColumn="0" w:lastRowFirstColumn="0" w:lastRowLastColumn="0"/>
              <w:rPr>
                <w:b/>
                <w:sz w:val="21"/>
                <w:szCs w:val="21"/>
              </w:rPr>
            </w:pPr>
            <w:r w:rsidRPr="00311157">
              <w:rPr>
                <w:b/>
                <w:sz w:val="21"/>
                <w:szCs w:val="21"/>
              </w:rPr>
              <w:t>SPTSX</w:t>
            </w:r>
          </w:p>
        </w:tc>
        <w:tc>
          <w:tcPr>
            <w:tcW w:w="2795" w:type="dxa"/>
          </w:tcPr>
          <w:p w14:paraId="43AF6501" w14:textId="46AC3263" w:rsidR="00913B60" w:rsidRPr="00311157" w:rsidRDefault="00913B60" w:rsidP="00913B60">
            <w:pPr>
              <w:cnfStyle w:val="000000000000" w:firstRow="0" w:lastRow="0" w:firstColumn="0" w:lastColumn="0" w:oddVBand="0" w:evenVBand="0" w:oddHBand="0" w:evenHBand="0" w:firstRowFirstColumn="0" w:firstRowLastColumn="0" w:lastRowFirstColumn="0" w:lastRowLastColumn="0"/>
            </w:pPr>
            <w:r w:rsidRPr="00311157">
              <w:t xml:space="preserve">Canada S&amp;P/TSX </w:t>
            </w:r>
          </w:p>
        </w:tc>
      </w:tr>
      <w:tr w:rsidR="00913B60" w14:paraId="41336432" w14:textId="77777777" w:rsidTr="00913B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578E26A9" w14:textId="5D54CDAA" w:rsidR="00913B60" w:rsidRPr="00311157" w:rsidRDefault="00913B60" w:rsidP="00913B60">
            <w:pPr>
              <w:rPr>
                <w:b w:val="0"/>
                <w:sz w:val="21"/>
                <w:szCs w:val="21"/>
              </w:rPr>
            </w:pPr>
            <w:r w:rsidRPr="00311157">
              <w:rPr>
                <w:sz w:val="21"/>
                <w:szCs w:val="21"/>
              </w:rPr>
              <w:t>HAR-RV-YZ</w:t>
            </w:r>
          </w:p>
        </w:tc>
        <w:tc>
          <w:tcPr>
            <w:tcW w:w="3557" w:type="dxa"/>
          </w:tcPr>
          <w:p w14:paraId="036E014F" w14:textId="170F926A"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pPr>
            <w:r w:rsidRPr="00311157">
              <w:t>HAR-RV-Yang-Zhang</w:t>
            </w:r>
            <w:r w:rsidR="00401F76" w:rsidRPr="00311157">
              <w:t>, Yang and Zhang (2000)</w:t>
            </w:r>
          </w:p>
        </w:tc>
        <w:tc>
          <w:tcPr>
            <w:tcW w:w="1250" w:type="dxa"/>
          </w:tcPr>
          <w:p w14:paraId="2E34D3FF" w14:textId="65F9FDC4" w:rsidR="00913B60" w:rsidRPr="00311157" w:rsidRDefault="00913B60" w:rsidP="00913B60">
            <w:pPr>
              <w:cnfStyle w:val="000000100000" w:firstRow="0" w:lastRow="0" w:firstColumn="0" w:lastColumn="0" w:oddVBand="0" w:evenVBand="0" w:oddHBand="1" w:evenHBand="0" w:firstRowFirstColumn="0" w:firstRowLastColumn="0" w:lastRowFirstColumn="0" w:lastRowLastColumn="0"/>
              <w:rPr>
                <w:b/>
                <w:sz w:val="21"/>
                <w:szCs w:val="21"/>
              </w:rPr>
            </w:pPr>
            <w:r w:rsidRPr="00311157">
              <w:rPr>
                <w:b/>
                <w:sz w:val="21"/>
                <w:szCs w:val="21"/>
              </w:rPr>
              <w:t>SPX</w:t>
            </w:r>
          </w:p>
        </w:tc>
        <w:tc>
          <w:tcPr>
            <w:tcW w:w="2795" w:type="dxa"/>
          </w:tcPr>
          <w:p w14:paraId="3BB59C21" w14:textId="52DD8D10" w:rsidR="00913B60" w:rsidRPr="00913B60" w:rsidRDefault="00913B60" w:rsidP="00913B60">
            <w:pPr>
              <w:cnfStyle w:val="000000100000" w:firstRow="0" w:lastRow="0" w:firstColumn="0" w:lastColumn="0" w:oddVBand="0" w:evenVBand="0" w:oddHBand="1" w:evenHBand="0" w:firstRowFirstColumn="0" w:firstRowLastColumn="0" w:lastRowFirstColumn="0" w:lastRowLastColumn="0"/>
            </w:pPr>
            <w:r w:rsidRPr="00311157">
              <w:t>United States S&amp;P500</w:t>
            </w:r>
          </w:p>
        </w:tc>
      </w:tr>
    </w:tbl>
    <w:p w14:paraId="5E5CA595" w14:textId="111B0F3C" w:rsidR="000A21CD" w:rsidRDefault="000A21CD">
      <w:pPr>
        <w:rPr>
          <w:b/>
        </w:rPr>
      </w:pPr>
      <w:r>
        <w:rPr>
          <w:b/>
        </w:rPr>
        <w:br w:type="page"/>
      </w:r>
    </w:p>
    <w:p w14:paraId="2B124447" w14:textId="3E4D9812" w:rsidR="000A21CD" w:rsidRPr="006E2A7D" w:rsidRDefault="000A21CD" w:rsidP="000A21CD">
      <w:pPr>
        <w:jc w:val="both"/>
        <w:rPr>
          <w:b/>
          <w:i/>
          <w:sz w:val="20"/>
          <w:szCs w:val="20"/>
        </w:rPr>
      </w:pPr>
      <w:r w:rsidRPr="006E2A7D">
        <w:rPr>
          <w:b/>
          <w:i/>
        </w:rPr>
        <w:lastRenderedPageBreak/>
        <w:t xml:space="preserve">Table </w:t>
      </w:r>
      <w:r w:rsidR="00A464E0">
        <w:rPr>
          <w:b/>
          <w:i/>
        </w:rPr>
        <w:t>3</w:t>
      </w:r>
      <w:r w:rsidRPr="006E2A7D">
        <w:rPr>
          <w:b/>
          <w:i/>
        </w:rPr>
        <w:t>:</w:t>
      </w:r>
      <w:r w:rsidRPr="006E2A7D">
        <w:rPr>
          <w:b/>
          <w:i/>
          <w:sz w:val="20"/>
          <w:szCs w:val="20"/>
        </w:rPr>
        <w:t xml:space="preserve"> ROLLING WINDOW FORECASTING RESULTS MEASURED BY QLIKE AND HMSE AND MCS PROCEDURE</w:t>
      </w:r>
    </w:p>
    <w:tbl>
      <w:tblPr>
        <w:tblStyle w:val="GridTable1Light-Accent1"/>
        <w:tblW w:w="9209" w:type="dxa"/>
        <w:tblLook w:val="04A0" w:firstRow="1" w:lastRow="0" w:firstColumn="1" w:lastColumn="0" w:noHBand="0" w:noVBand="1"/>
      </w:tblPr>
      <w:tblGrid>
        <w:gridCol w:w="1413"/>
        <w:gridCol w:w="2835"/>
        <w:gridCol w:w="542"/>
        <w:gridCol w:w="1584"/>
        <w:gridCol w:w="2835"/>
      </w:tblGrid>
      <w:tr w:rsidR="000A21CD" w:rsidRPr="006E2A7D" w14:paraId="0469442E" w14:textId="77777777" w:rsidTr="006D69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76D22E2F" w14:textId="77777777" w:rsidR="000A21CD" w:rsidRPr="006E2A7D" w:rsidRDefault="000A21CD" w:rsidP="006D69F3">
            <w:pPr>
              <w:shd w:val="clear" w:color="auto" w:fill="FFFFFF" w:themeFill="background1"/>
              <w:rPr>
                <w:sz w:val="18"/>
                <w:szCs w:val="18"/>
              </w:rPr>
            </w:pPr>
            <w:r w:rsidRPr="006E2A7D">
              <w:rPr>
                <w:sz w:val="18"/>
                <w:szCs w:val="18"/>
              </w:rPr>
              <w:t>CAC</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7842AB78" w14:textId="77777777" w:rsidR="000A21CD" w:rsidRPr="006E2A7D" w:rsidRDefault="000A21CD" w:rsidP="006D69F3">
            <w:pPr>
              <w:shd w:val="clear" w:color="auto" w:fill="FFFFFF" w:themeFill="background1"/>
              <w:cnfStyle w:val="100000000000" w:firstRow="1" w:lastRow="0" w:firstColumn="0" w:lastColumn="0" w:oddVBand="0" w:evenVBand="0" w:oddHBand="0" w:evenHBand="0" w:firstRowFirstColumn="0" w:firstRowLastColumn="0" w:lastRowFirstColumn="0" w:lastRowLastColumn="0"/>
              <w:rPr>
                <w:b w:val="0"/>
                <w:sz w:val="18"/>
                <w:szCs w:val="18"/>
              </w:rPr>
            </w:pPr>
            <w:r w:rsidRPr="006E2A7D">
              <w:rPr>
                <w:sz w:val="18"/>
                <w:szCs w:val="18"/>
              </w:rPr>
              <w:t xml:space="preserve">  QLIKE      p-value             Rank</w:t>
            </w:r>
          </w:p>
        </w:tc>
        <w:tc>
          <w:tcPr>
            <w:tcW w:w="542"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30B9181A" w14:textId="77777777" w:rsidR="000A21CD" w:rsidRPr="006E2A7D" w:rsidRDefault="000A21CD" w:rsidP="006D69F3">
            <w:pPr>
              <w:cnfStyle w:val="100000000000" w:firstRow="1"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47DE5A83" w14:textId="77777777" w:rsidR="000A21CD" w:rsidRPr="006E2A7D" w:rsidRDefault="000A21CD" w:rsidP="006D69F3">
            <w:pPr>
              <w:shd w:val="clear" w:color="auto" w:fill="FFFFFF" w:themeFill="background1"/>
              <w:cnfStyle w:val="100000000000" w:firstRow="1" w:lastRow="0" w:firstColumn="0" w:lastColumn="0" w:oddVBand="0" w:evenVBand="0" w:oddHBand="0" w:evenHBand="0" w:firstRowFirstColumn="0" w:firstRowLastColumn="0" w:lastRowFirstColumn="0" w:lastRowLastColumn="0"/>
              <w:rPr>
                <w:sz w:val="18"/>
                <w:szCs w:val="18"/>
              </w:rPr>
            </w:pPr>
            <w:r w:rsidRPr="006E2A7D">
              <w:rPr>
                <w:sz w:val="18"/>
                <w:szCs w:val="18"/>
              </w:rPr>
              <w:t>CAC</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38432EDA" w14:textId="77777777" w:rsidR="000A21CD" w:rsidRPr="006E2A7D" w:rsidRDefault="000A21CD" w:rsidP="006D69F3">
            <w:pPr>
              <w:shd w:val="clear" w:color="auto" w:fill="FFFFFF" w:themeFill="background1"/>
              <w:cnfStyle w:val="100000000000" w:firstRow="1" w:lastRow="0" w:firstColumn="0" w:lastColumn="0" w:oddVBand="0" w:evenVBand="0" w:oddHBand="0" w:evenHBand="0" w:firstRowFirstColumn="0" w:firstRowLastColumn="0" w:lastRowFirstColumn="0" w:lastRowLastColumn="0"/>
              <w:rPr>
                <w:b w:val="0"/>
                <w:sz w:val="18"/>
                <w:szCs w:val="18"/>
              </w:rPr>
            </w:pPr>
            <w:r w:rsidRPr="006E2A7D">
              <w:rPr>
                <w:sz w:val="18"/>
                <w:szCs w:val="18"/>
              </w:rPr>
              <w:t xml:space="preserve">  HMSE        p-value           Rank</w:t>
            </w:r>
          </w:p>
        </w:tc>
      </w:tr>
      <w:tr w:rsidR="000A21CD" w:rsidRPr="006E2A7D" w14:paraId="19A1AEF9"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right w:val="dashDotStroked" w:sz="24" w:space="0" w:color="000000" w:themeColor="text1"/>
            </w:tcBorders>
          </w:tcPr>
          <w:p w14:paraId="55694A2A" w14:textId="77777777" w:rsidR="000A21CD" w:rsidRPr="006E2A7D" w:rsidRDefault="000A21CD" w:rsidP="006D69F3">
            <w:pPr>
              <w:shd w:val="clear" w:color="auto" w:fill="FFFFFF" w:themeFill="background1"/>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434F029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0.1675     eliminated           2</w:t>
            </w:r>
          </w:p>
        </w:tc>
        <w:tc>
          <w:tcPr>
            <w:tcW w:w="542" w:type="dxa"/>
            <w:tcBorders>
              <w:top w:val="dashDotStroked" w:sz="24" w:space="0" w:color="000000" w:themeColor="text1"/>
              <w:left w:val="dashDotStroked" w:sz="24" w:space="0" w:color="000000" w:themeColor="text1"/>
              <w:right w:val="dashDotStroked" w:sz="24" w:space="0" w:color="000000" w:themeColor="text1"/>
            </w:tcBorders>
          </w:tcPr>
          <w:p w14:paraId="4923A383"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right w:val="dashDotStroked" w:sz="24" w:space="0" w:color="000000" w:themeColor="text1"/>
            </w:tcBorders>
          </w:tcPr>
          <w:p w14:paraId="7744C30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23FC1AE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0.7861         0.3078               3</w:t>
            </w:r>
          </w:p>
        </w:tc>
      </w:tr>
      <w:tr w:rsidR="000A21CD" w:rsidRPr="006E2A7D" w14:paraId="619912B8"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6AC234C3" w14:textId="77777777" w:rsidR="000A21CD" w:rsidRPr="006E2A7D" w:rsidRDefault="000A21CD" w:rsidP="006D69F3">
            <w:pPr>
              <w:shd w:val="clear" w:color="auto" w:fill="FFFFFF" w:themeFill="background1"/>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376F006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w:t>
            </w:r>
            <w:r w:rsidRPr="00B80330">
              <w:rPr>
                <w:sz w:val="18"/>
                <w:szCs w:val="18"/>
              </w:rPr>
              <w:t>0.1517</w:t>
            </w:r>
            <w:r w:rsidRPr="006E2A7D">
              <w:rPr>
                <w:sz w:val="18"/>
                <w:szCs w:val="18"/>
              </w:rPr>
              <w:t xml:space="preserve">     1.0000                  1</w:t>
            </w:r>
          </w:p>
        </w:tc>
        <w:tc>
          <w:tcPr>
            <w:tcW w:w="542" w:type="dxa"/>
            <w:tcBorders>
              <w:left w:val="dashDotStroked" w:sz="24" w:space="0" w:color="000000" w:themeColor="text1"/>
              <w:right w:val="dashDotStroked" w:sz="24" w:space="0" w:color="000000" w:themeColor="text1"/>
            </w:tcBorders>
          </w:tcPr>
          <w:p w14:paraId="386FF212"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39A6774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423AB75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B80330">
              <w:rPr>
                <w:sz w:val="18"/>
                <w:szCs w:val="18"/>
              </w:rPr>
              <w:t>0.7257</w:t>
            </w:r>
            <w:r w:rsidRPr="006E2A7D">
              <w:rPr>
                <w:sz w:val="18"/>
                <w:szCs w:val="18"/>
              </w:rPr>
              <w:t xml:space="preserve">         1.0000               1</w:t>
            </w:r>
          </w:p>
        </w:tc>
      </w:tr>
      <w:tr w:rsidR="000A21CD" w:rsidRPr="006E2A7D" w14:paraId="2EB3B4E0"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487015ED" w14:textId="77777777" w:rsidR="000A21CD" w:rsidRPr="006E2A7D" w:rsidRDefault="000A21CD" w:rsidP="006D69F3">
            <w:pPr>
              <w:shd w:val="clear" w:color="auto" w:fill="FFFFFF" w:themeFill="background1"/>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0F061352"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0.1688     eliminated           3 </w:t>
            </w:r>
          </w:p>
        </w:tc>
        <w:tc>
          <w:tcPr>
            <w:tcW w:w="542" w:type="dxa"/>
            <w:tcBorders>
              <w:left w:val="dashDotStroked" w:sz="24" w:space="0" w:color="000000" w:themeColor="text1"/>
              <w:right w:val="dashDotStroked" w:sz="24" w:space="0" w:color="000000" w:themeColor="text1"/>
            </w:tcBorders>
          </w:tcPr>
          <w:p w14:paraId="771FEBAE"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1EA1699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315BED8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0.8068         0.0782               6</w:t>
            </w:r>
          </w:p>
        </w:tc>
      </w:tr>
      <w:tr w:rsidR="000A21CD" w:rsidRPr="006E2A7D" w14:paraId="057B53C3"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3F2EB9A3" w14:textId="77777777" w:rsidR="000A21CD" w:rsidRPr="006E2A7D" w:rsidRDefault="000A21CD" w:rsidP="006D69F3">
            <w:pPr>
              <w:shd w:val="clear" w:color="auto" w:fill="FFFFFF" w:themeFill="background1"/>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7E9467E5"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0.1766     eliminated           6 </w:t>
            </w:r>
          </w:p>
        </w:tc>
        <w:tc>
          <w:tcPr>
            <w:tcW w:w="542" w:type="dxa"/>
            <w:tcBorders>
              <w:left w:val="dashDotStroked" w:sz="24" w:space="0" w:color="000000" w:themeColor="text1"/>
              <w:right w:val="dashDotStroked" w:sz="24" w:space="0" w:color="000000" w:themeColor="text1"/>
            </w:tcBorders>
          </w:tcPr>
          <w:p w14:paraId="1E62B98C"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4C75055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405B313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0.8008         0.1878               5</w:t>
            </w:r>
          </w:p>
        </w:tc>
      </w:tr>
      <w:tr w:rsidR="000A21CD" w:rsidRPr="006E2A7D" w14:paraId="4B03D5B9"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67491855" w14:textId="77777777" w:rsidR="000A21CD" w:rsidRPr="006E2A7D" w:rsidRDefault="000A21CD" w:rsidP="006D69F3">
            <w:pPr>
              <w:shd w:val="clear" w:color="auto" w:fill="FFFFFF" w:themeFill="background1"/>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7A37736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0.1724     eliminated           5 </w:t>
            </w:r>
          </w:p>
        </w:tc>
        <w:tc>
          <w:tcPr>
            <w:tcW w:w="542" w:type="dxa"/>
            <w:tcBorders>
              <w:left w:val="dashDotStroked" w:sz="24" w:space="0" w:color="000000" w:themeColor="text1"/>
              <w:right w:val="dashDotStroked" w:sz="24" w:space="0" w:color="000000" w:themeColor="text1"/>
            </w:tcBorders>
          </w:tcPr>
          <w:p w14:paraId="3C543B25"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066DE1C5"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407B088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0.8181         0.1964               4</w:t>
            </w:r>
          </w:p>
        </w:tc>
      </w:tr>
      <w:tr w:rsidR="000A21CD" w:rsidRPr="006E2A7D" w14:paraId="4DE5A942"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6D2B0580" w14:textId="77777777" w:rsidR="000A21CD" w:rsidRPr="006E2A7D" w:rsidRDefault="000A21CD" w:rsidP="006D69F3">
            <w:pPr>
              <w:shd w:val="clear" w:color="auto" w:fill="FFFFFF" w:themeFill="background1"/>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267F03E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0.1700     eliminated           4 </w:t>
            </w:r>
          </w:p>
        </w:tc>
        <w:tc>
          <w:tcPr>
            <w:tcW w:w="542" w:type="dxa"/>
            <w:tcBorders>
              <w:left w:val="dashDotStroked" w:sz="24" w:space="0" w:color="000000" w:themeColor="text1"/>
              <w:right w:val="dashDotStroked" w:sz="24" w:space="0" w:color="000000" w:themeColor="text1"/>
            </w:tcBorders>
          </w:tcPr>
          <w:p w14:paraId="71C566E4"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3D093EF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26C0CF8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0.7893         1.0000               2</w:t>
            </w:r>
          </w:p>
        </w:tc>
      </w:tr>
      <w:tr w:rsidR="000A21CD" w:rsidRPr="006E2A7D" w14:paraId="7F88A654"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7E9B2C8E" w14:textId="77777777" w:rsidR="000A21CD" w:rsidRPr="006E2A7D" w:rsidRDefault="000A21CD" w:rsidP="006D69F3">
            <w:pPr>
              <w:shd w:val="clear" w:color="auto" w:fill="FFFFFF" w:themeFill="background1"/>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22092CC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0.1817     eliminated           7 </w:t>
            </w:r>
          </w:p>
        </w:tc>
        <w:tc>
          <w:tcPr>
            <w:tcW w:w="542" w:type="dxa"/>
            <w:tcBorders>
              <w:left w:val="dashDotStroked" w:sz="24" w:space="0" w:color="000000" w:themeColor="text1"/>
              <w:right w:val="dashDotStroked" w:sz="24" w:space="0" w:color="000000" w:themeColor="text1"/>
            </w:tcBorders>
          </w:tcPr>
          <w:p w14:paraId="5507F5C2"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2D6BEC0B"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204B304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0.8534         0.0378               7</w:t>
            </w:r>
          </w:p>
        </w:tc>
      </w:tr>
      <w:tr w:rsidR="000A21CD" w:rsidRPr="006E2A7D" w14:paraId="47C5F12C"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bottom w:val="dashDotStroked" w:sz="24" w:space="0" w:color="000000" w:themeColor="text1"/>
              <w:right w:val="dashDotStroked" w:sz="24" w:space="0" w:color="000000" w:themeColor="text1"/>
            </w:tcBorders>
          </w:tcPr>
          <w:p w14:paraId="3861D2BC" w14:textId="77777777" w:rsidR="000A21CD" w:rsidRPr="006E2A7D" w:rsidRDefault="000A21CD" w:rsidP="006D69F3">
            <w:pPr>
              <w:shd w:val="clear" w:color="auto" w:fill="FFFFFF" w:themeFill="background1"/>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1BDE57A2"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542" w:type="dxa"/>
            <w:tcBorders>
              <w:left w:val="dashDotStroked" w:sz="24" w:space="0" w:color="000000" w:themeColor="text1"/>
              <w:bottom w:val="dashDotStroked" w:sz="24" w:space="0" w:color="000000" w:themeColor="text1"/>
              <w:right w:val="dashDotStroked" w:sz="24" w:space="0" w:color="000000" w:themeColor="text1"/>
            </w:tcBorders>
          </w:tcPr>
          <w:p w14:paraId="3BD49374"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bottom w:val="dashDotStroked" w:sz="24" w:space="0" w:color="000000" w:themeColor="text1"/>
              <w:right w:val="dashDotStroked" w:sz="24" w:space="0" w:color="000000" w:themeColor="text1"/>
            </w:tcBorders>
          </w:tcPr>
          <w:p w14:paraId="6529AC6B"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0AC8789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r>
      <w:tr w:rsidR="000A21CD" w:rsidRPr="006E2A7D" w14:paraId="3ABA26CF"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0FC1FC0E" w14:textId="77777777" w:rsidR="000A21CD" w:rsidRPr="006E2A7D" w:rsidRDefault="000A21CD" w:rsidP="006D69F3">
            <w:pPr>
              <w:shd w:val="clear" w:color="auto" w:fill="FFFFFF" w:themeFill="background1"/>
              <w:rPr>
                <w:sz w:val="18"/>
                <w:szCs w:val="18"/>
              </w:rPr>
            </w:pPr>
            <w:r w:rsidRPr="006E2A7D">
              <w:rPr>
                <w:sz w:val="18"/>
                <w:szCs w:val="18"/>
              </w:rPr>
              <w:t>DAX</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1FEF5B1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b/>
                <w:sz w:val="18"/>
                <w:szCs w:val="18"/>
              </w:rPr>
              <w:t xml:space="preserve">QLIKE      p-value  </w:t>
            </w:r>
            <w:r w:rsidRPr="006E2A7D">
              <w:rPr>
                <w:sz w:val="18"/>
                <w:szCs w:val="18"/>
              </w:rPr>
              <w:t xml:space="preserve">           </w:t>
            </w:r>
            <w:r w:rsidRPr="006E2A7D">
              <w:rPr>
                <w:b/>
                <w:sz w:val="18"/>
                <w:szCs w:val="18"/>
              </w:rPr>
              <w:t>Rank</w:t>
            </w:r>
            <w:r w:rsidRPr="006E2A7D">
              <w:rPr>
                <w:sz w:val="18"/>
                <w:szCs w:val="18"/>
              </w:rPr>
              <w:t xml:space="preserve"> </w:t>
            </w:r>
          </w:p>
        </w:tc>
        <w:tc>
          <w:tcPr>
            <w:tcW w:w="542"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3C871996"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25ED7639"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DAX</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21DD1D4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HMSE         p-value           Rank </w:t>
            </w:r>
          </w:p>
        </w:tc>
      </w:tr>
      <w:tr w:rsidR="000A21CD" w:rsidRPr="006E2A7D" w14:paraId="6131201B"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right w:val="dashDotStroked" w:sz="24" w:space="0" w:color="000000" w:themeColor="text1"/>
            </w:tcBorders>
          </w:tcPr>
          <w:p w14:paraId="126F9524" w14:textId="77777777" w:rsidR="000A21CD" w:rsidRPr="006E2A7D" w:rsidRDefault="000A21CD" w:rsidP="006D69F3">
            <w:pPr>
              <w:shd w:val="clear" w:color="auto" w:fill="FFFFFF" w:themeFill="background1"/>
              <w:rPr>
                <w:b w:val="0"/>
                <w:sz w:val="18"/>
                <w:szCs w:val="18"/>
              </w:rPr>
            </w:pPr>
            <w:r w:rsidRPr="006E2A7D">
              <w:rPr>
                <w:b w:val="0"/>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5DB9338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0.1756     eliminated         2 </w:t>
            </w:r>
          </w:p>
        </w:tc>
        <w:tc>
          <w:tcPr>
            <w:tcW w:w="542" w:type="dxa"/>
            <w:tcBorders>
              <w:top w:val="dashDotStroked" w:sz="24" w:space="0" w:color="000000" w:themeColor="text1"/>
              <w:left w:val="dashDotStroked" w:sz="24" w:space="0" w:color="000000" w:themeColor="text1"/>
              <w:right w:val="dashDotStroked" w:sz="24" w:space="0" w:color="000000" w:themeColor="text1"/>
            </w:tcBorders>
          </w:tcPr>
          <w:p w14:paraId="24FBD89B"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right w:val="dashDotStroked" w:sz="24" w:space="0" w:color="000000" w:themeColor="text1"/>
            </w:tcBorders>
          </w:tcPr>
          <w:p w14:paraId="6CB17C1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6FF33B2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0.9157       eliminated          –</w:t>
            </w:r>
          </w:p>
        </w:tc>
      </w:tr>
      <w:tr w:rsidR="000A21CD" w:rsidRPr="006E2A7D" w14:paraId="55E8227E"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34A99D07" w14:textId="77777777" w:rsidR="000A21CD" w:rsidRPr="006E2A7D" w:rsidRDefault="000A21CD" w:rsidP="006D69F3">
            <w:pPr>
              <w:shd w:val="clear" w:color="auto" w:fill="FFFFFF" w:themeFill="background1"/>
              <w:rPr>
                <w:b w:val="0"/>
                <w:sz w:val="18"/>
                <w:szCs w:val="18"/>
              </w:rPr>
            </w:pPr>
            <w:r w:rsidRPr="006E2A7D">
              <w:rPr>
                <w:b w:val="0"/>
                <w:sz w:val="18"/>
                <w:szCs w:val="18"/>
              </w:rPr>
              <w:t>HAR-RV-ONV</w:t>
            </w:r>
          </w:p>
        </w:tc>
        <w:tc>
          <w:tcPr>
            <w:tcW w:w="2835" w:type="dxa"/>
            <w:tcBorders>
              <w:left w:val="dashDotStroked" w:sz="24" w:space="0" w:color="000000" w:themeColor="text1"/>
              <w:right w:val="dashDotStroked" w:sz="24" w:space="0" w:color="000000" w:themeColor="text1"/>
            </w:tcBorders>
          </w:tcPr>
          <w:p w14:paraId="69F9DAA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w:t>
            </w:r>
            <w:r w:rsidRPr="00B80330">
              <w:rPr>
                <w:sz w:val="18"/>
                <w:szCs w:val="18"/>
              </w:rPr>
              <w:t>0.1657</w:t>
            </w:r>
            <w:r w:rsidRPr="006E2A7D">
              <w:rPr>
                <w:sz w:val="18"/>
                <w:szCs w:val="18"/>
              </w:rPr>
              <w:t xml:space="preserve">     1.0000                1</w:t>
            </w:r>
          </w:p>
        </w:tc>
        <w:tc>
          <w:tcPr>
            <w:tcW w:w="542" w:type="dxa"/>
            <w:tcBorders>
              <w:left w:val="dashDotStroked" w:sz="24" w:space="0" w:color="000000" w:themeColor="text1"/>
              <w:right w:val="dashDotStroked" w:sz="24" w:space="0" w:color="000000" w:themeColor="text1"/>
            </w:tcBorders>
          </w:tcPr>
          <w:p w14:paraId="31451819"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42BA471B" w14:textId="77777777" w:rsidR="000A21CD" w:rsidRPr="00B80330"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B80330">
              <w:rPr>
                <w:sz w:val="18"/>
                <w:szCs w:val="18"/>
              </w:rPr>
              <w:t>HAR-RV-ONV</w:t>
            </w:r>
          </w:p>
        </w:tc>
        <w:tc>
          <w:tcPr>
            <w:tcW w:w="2835" w:type="dxa"/>
            <w:tcBorders>
              <w:left w:val="dashDotStroked" w:sz="24" w:space="0" w:color="000000" w:themeColor="text1"/>
              <w:right w:val="dashDotStroked" w:sz="24" w:space="0" w:color="000000" w:themeColor="text1"/>
            </w:tcBorders>
          </w:tcPr>
          <w:p w14:paraId="7F46B058" w14:textId="77777777" w:rsidR="000A21CD" w:rsidRPr="00B80330"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B80330">
              <w:rPr>
                <w:sz w:val="18"/>
                <w:szCs w:val="18"/>
              </w:rPr>
              <w:t>0.8607       1.0000                 1</w:t>
            </w:r>
          </w:p>
        </w:tc>
      </w:tr>
      <w:tr w:rsidR="000A21CD" w:rsidRPr="006E2A7D" w14:paraId="68CDB724"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458025CC" w14:textId="77777777" w:rsidR="000A21CD" w:rsidRPr="006E2A7D" w:rsidRDefault="000A21CD" w:rsidP="006D69F3">
            <w:pPr>
              <w:shd w:val="clear" w:color="auto" w:fill="FFFFFF" w:themeFill="background1"/>
              <w:rPr>
                <w:b w:val="0"/>
                <w:sz w:val="18"/>
                <w:szCs w:val="18"/>
              </w:rPr>
            </w:pPr>
            <w:r w:rsidRPr="006E2A7D">
              <w:rPr>
                <w:b w:val="0"/>
                <w:sz w:val="18"/>
                <w:szCs w:val="18"/>
              </w:rPr>
              <w:t>HAR-RV-CC</w:t>
            </w:r>
          </w:p>
        </w:tc>
        <w:tc>
          <w:tcPr>
            <w:tcW w:w="2835" w:type="dxa"/>
            <w:tcBorders>
              <w:left w:val="dashDotStroked" w:sz="24" w:space="0" w:color="000000" w:themeColor="text1"/>
              <w:right w:val="dashDotStroked" w:sz="24" w:space="0" w:color="000000" w:themeColor="text1"/>
            </w:tcBorders>
          </w:tcPr>
          <w:p w14:paraId="6036DDC5"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0.1771     eliminated         3 </w:t>
            </w:r>
          </w:p>
        </w:tc>
        <w:tc>
          <w:tcPr>
            <w:tcW w:w="542" w:type="dxa"/>
            <w:tcBorders>
              <w:left w:val="dashDotStroked" w:sz="24" w:space="0" w:color="000000" w:themeColor="text1"/>
              <w:right w:val="dashDotStroked" w:sz="24" w:space="0" w:color="000000" w:themeColor="text1"/>
            </w:tcBorders>
          </w:tcPr>
          <w:p w14:paraId="33E6C687"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375AFB7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386DD69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0.9355       eliminated          –</w:t>
            </w:r>
          </w:p>
        </w:tc>
      </w:tr>
      <w:tr w:rsidR="000A21CD" w:rsidRPr="006E2A7D" w14:paraId="7B5B6692"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36F7D5F1" w14:textId="77777777" w:rsidR="000A21CD" w:rsidRPr="006E2A7D" w:rsidRDefault="000A21CD" w:rsidP="006D69F3">
            <w:pPr>
              <w:shd w:val="clear" w:color="auto" w:fill="FFFFFF" w:themeFill="background1"/>
              <w:rPr>
                <w:b w:val="0"/>
                <w:sz w:val="18"/>
                <w:szCs w:val="18"/>
              </w:rPr>
            </w:pPr>
            <w:r w:rsidRPr="006E2A7D">
              <w:rPr>
                <w:b w:val="0"/>
                <w:sz w:val="18"/>
                <w:szCs w:val="18"/>
              </w:rPr>
              <w:t>HAR-RV-PK</w:t>
            </w:r>
          </w:p>
        </w:tc>
        <w:tc>
          <w:tcPr>
            <w:tcW w:w="2835" w:type="dxa"/>
            <w:tcBorders>
              <w:left w:val="dashDotStroked" w:sz="24" w:space="0" w:color="000000" w:themeColor="text1"/>
              <w:right w:val="dashDotStroked" w:sz="24" w:space="0" w:color="000000" w:themeColor="text1"/>
            </w:tcBorders>
          </w:tcPr>
          <w:p w14:paraId="5CD74DA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0.1830     eliminated         6 </w:t>
            </w:r>
          </w:p>
        </w:tc>
        <w:tc>
          <w:tcPr>
            <w:tcW w:w="542" w:type="dxa"/>
            <w:tcBorders>
              <w:left w:val="dashDotStroked" w:sz="24" w:space="0" w:color="000000" w:themeColor="text1"/>
              <w:right w:val="dashDotStroked" w:sz="24" w:space="0" w:color="000000" w:themeColor="text1"/>
            </w:tcBorders>
          </w:tcPr>
          <w:p w14:paraId="4ACBB87E"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0471A10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163B488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0.8990       eliminated          –</w:t>
            </w:r>
          </w:p>
        </w:tc>
      </w:tr>
      <w:tr w:rsidR="000A21CD" w:rsidRPr="006E2A7D" w14:paraId="757BE78B"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7C7AD9F5" w14:textId="77777777" w:rsidR="000A21CD" w:rsidRPr="006E2A7D" w:rsidRDefault="000A21CD" w:rsidP="006D69F3">
            <w:pPr>
              <w:shd w:val="clear" w:color="auto" w:fill="FFFFFF" w:themeFill="background1"/>
              <w:rPr>
                <w:b w:val="0"/>
                <w:sz w:val="18"/>
                <w:szCs w:val="18"/>
              </w:rPr>
            </w:pPr>
            <w:r w:rsidRPr="006E2A7D">
              <w:rPr>
                <w:b w:val="0"/>
                <w:sz w:val="18"/>
                <w:szCs w:val="18"/>
              </w:rPr>
              <w:t>HAR-RV-GK</w:t>
            </w:r>
          </w:p>
        </w:tc>
        <w:tc>
          <w:tcPr>
            <w:tcW w:w="2835" w:type="dxa"/>
            <w:tcBorders>
              <w:left w:val="dashDotStroked" w:sz="24" w:space="0" w:color="000000" w:themeColor="text1"/>
              <w:right w:val="dashDotStroked" w:sz="24" w:space="0" w:color="000000" w:themeColor="text1"/>
            </w:tcBorders>
          </w:tcPr>
          <w:p w14:paraId="10089401"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0.1849     eliminated         7 </w:t>
            </w:r>
          </w:p>
        </w:tc>
        <w:tc>
          <w:tcPr>
            <w:tcW w:w="542" w:type="dxa"/>
            <w:tcBorders>
              <w:left w:val="dashDotStroked" w:sz="24" w:space="0" w:color="000000" w:themeColor="text1"/>
              <w:right w:val="dashDotStroked" w:sz="24" w:space="0" w:color="000000" w:themeColor="text1"/>
            </w:tcBorders>
          </w:tcPr>
          <w:p w14:paraId="3422918D"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2D36A7F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24D75F9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0.9134       eliminated          –</w:t>
            </w:r>
          </w:p>
        </w:tc>
      </w:tr>
      <w:tr w:rsidR="000A21CD" w:rsidRPr="006E2A7D" w14:paraId="470BE80F"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2D6EB3B6" w14:textId="77777777" w:rsidR="000A21CD" w:rsidRPr="006E2A7D" w:rsidRDefault="000A21CD" w:rsidP="006D69F3">
            <w:pPr>
              <w:shd w:val="clear" w:color="auto" w:fill="FFFFFF" w:themeFill="background1"/>
              <w:rPr>
                <w:b w:val="0"/>
                <w:sz w:val="18"/>
                <w:szCs w:val="18"/>
              </w:rPr>
            </w:pPr>
            <w:r w:rsidRPr="006E2A7D">
              <w:rPr>
                <w:b w:val="0"/>
                <w:sz w:val="18"/>
                <w:szCs w:val="18"/>
              </w:rPr>
              <w:t>HAR-RV-RS</w:t>
            </w:r>
          </w:p>
        </w:tc>
        <w:tc>
          <w:tcPr>
            <w:tcW w:w="2835" w:type="dxa"/>
            <w:tcBorders>
              <w:left w:val="dashDotStroked" w:sz="24" w:space="0" w:color="000000" w:themeColor="text1"/>
              <w:right w:val="dashDotStroked" w:sz="24" w:space="0" w:color="000000" w:themeColor="text1"/>
            </w:tcBorders>
          </w:tcPr>
          <w:p w14:paraId="0AF11C7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0.1790     eliminated         4 </w:t>
            </w:r>
          </w:p>
        </w:tc>
        <w:tc>
          <w:tcPr>
            <w:tcW w:w="542" w:type="dxa"/>
            <w:tcBorders>
              <w:left w:val="dashDotStroked" w:sz="24" w:space="0" w:color="000000" w:themeColor="text1"/>
              <w:right w:val="dashDotStroked" w:sz="24" w:space="0" w:color="000000" w:themeColor="text1"/>
            </w:tcBorders>
          </w:tcPr>
          <w:p w14:paraId="5EDDE8C8"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02381B8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3D858A0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0.9216       eliminated          –</w:t>
            </w:r>
          </w:p>
        </w:tc>
      </w:tr>
      <w:tr w:rsidR="000A21CD" w:rsidRPr="006E2A7D" w14:paraId="688C63BD"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2ED271EC" w14:textId="77777777" w:rsidR="000A21CD" w:rsidRPr="006E2A7D" w:rsidRDefault="000A21CD" w:rsidP="006D69F3">
            <w:pPr>
              <w:shd w:val="clear" w:color="auto" w:fill="FFFFFF" w:themeFill="background1"/>
              <w:rPr>
                <w:b w:val="0"/>
                <w:sz w:val="18"/>
                <w:szCs w:val="18"/>
              </w:rPr>
            </w:pPr>
            <w:r w:rsidRPr="006E2A7D">
              <w:rPr>
                <w:b w:val="0"/>
                <w:sz w:val="18"/>
                <w:szCs w:val="18"/>
              </w:rPr>
              <w:t>HAR-RV-YZ</w:t>
            </w:r>
          </w:p>
        </w:tc>
        <w:tc>
          <w:tcPr>
            <w:tcW w:w="2835" w:type="dxa"/>
            <w:tcBorders>
              <w:left w:val="dashDotStroked" w:sz="24" w:space="0" w:color="000000" w:themeColor="text1"/>
              <w:right w:val="dashDotStroked" w:sz="24" w:space="0" w:color="000000" w:themeColor="text1"/>
            </w:tcBorders>
          </w:tcPr>
          <w:p w14:paraId="5A6948D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0.1810     eliminated         5</w:t>
            </w:r>
          </w:p>
        </w:tc>
        <w:tc>
          <w:tcPr>
            <w:tcW w:w="542" w:type="dxa"/>
            <w:tcBorders>
              <w:left w:val="dashDotStroked" w:sz="24" w:space="0" w:color="000000" w:themeColor="text1"/>
              <w:right w:val="dashDotStroked" w:sz="24" w:space="0" w:color="000000" w:themeColor="text1"/>
            </w:tcBorders>
          </w:tcPr>
          <w:p w14:paraId="141C65B5"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20767F1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7CF5460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0.9602       eliminated          –</w:t>
            </w:r>
          </w:p>
        </w:tc>
      </w:tr>
      <w:tr w:rsidR="000A21CD" w:rsidRPr="006E2A7D" w14:paraId="6B3765E2"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bottom w:val="dashDotStroked" w:sz="24" w:space="0" w:color="000000" w:themeColor="text1"/>
              <w:right w:val="dashDotStroked" w:sz="24" w:space="0" w:color="000000" w:themeColor="text1"/>
            </w:tcBorders>
          </w:tcPr>
          <w:p w14:paraId="6CDB4AC2" w14:textId="77777777" w:rsidR="000A21CD" w:rsidRPr="006E2A7D" w:rsidRDefault="000A21CD" w:rsidP="006D69F3">
            <w:pPr>
              <w:shd w:val="clear" w:color="auto" w:fill="FFFFFF" w:themeFill="background1"/>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33CFF36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542" w:type="dxa"/>
            <w:tcBorders>
              <w:left w:val="dashDotStroked" w:sz="24" w:space="0" w:color="000000" w:themeColor="text1"/>
              <w:bottom w:val="dashDotStroked" w:sz="24" w:space="0" w:color="000000" w:themeColor="text1"/>
              <w:right w:val="dashDotStroked" w:sz="24" w:space="0" w:color="000000" w:themeColor="text1"/>
            </w:tcBorders>
          </w:tcPr>
          <w:p w14:paraId="4BB9AB3B"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bottom w:val="dashDotStroked" w:sz="24" w:space="0" w:color="000000" w:themeColor="text1"/>
              <w:right w:val="dashDotStroked" w:sz="24" w:space="0" w:color="000000" w:themeColor="text1"/>
            </w:tcBorders>
          </w:tcPr>
          <w:p w14:paraId="2CEAD71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484A7355"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r>
      <w:tr w:rsidR="000A21CD" w:rsidRPr="006E2A7D" w14:paraId="5F72374A"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474C7F6B" w14:textId="77777777" w:rsidR="000A21CD" w:rsidRPr="006E2A7D" w:rsidRDefault="000A21CD" w:rsidP="006D69F3">
            <w:pPr>
              <w:shd w:val="clear" w:color="auto" w:fill="FFFFFF" w:themeFill="background1"/>
              <w:rPr>
                <w:sz w:val="18"/>
                <w:szCs w:val="18"/>
              </w:rPr>
            </w:pPr>
            <w:r w:rsidRPr="006E2A7D">
              <w:rPr>
                <w:sz w:val="18"/>
                <w:szCs w:val="18"/>
              </w:rPr>
              <w:t>FTSE</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5CC1108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QLIKE      p-value            Rank</w:t>
            </w:r>
          </w:p>
        </w:tc>
        <w:tc>
          <w:tcPr>
            <w:tcW w:w="542"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75A2D62A"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02FEF70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FTSE</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0A57A56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HMSE       p-value            Rank</w:t>
            </w:r>
          </w:p>
        </w:tc>
      </w:tr>
      <w:tr w:rsidR="000A21CD" w:rsidRPr="006E2A7D" w14:paraId="7D58254F"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right w:val="dashDotStroked" w:sz="24" w:space="0" w:color="000000" w:themeColor="text1"/>
            </w:tcBorders>
          </w:tcPr>
          <w:p w14:paraId="3BC009E9" w14:textId="77777777" w:rsidR="000A21CD" w:rsidRPr="006E2A7D" w:rsidRDefault="000A21CD" w:rsidP="006D69F3">
            <w:pPr>
              <w:shd w:val="clear" w:color="auto" w:fill="FFFFFF" w:themeFill="background1"/>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5148F9B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0.2851     0.7680                  5 </w:t>
            </w:r>
          </w:p>
        </w:tc>
        <w:tc>
          <w:tcPr>
            <w:tcW w:w="542" w:type="dxa"/>
            <w:tcBorders>
              <w:top w:val="dashDotStroked" w:sz="24" w:space="0" w:color="000000" w:themeColor="text1"/>
              <w:left w:val="dashDotStroked" w:sz="24" w:space="0" w:color="000000" w:themeColor="text1"/>
              <w:right w:val="dashDotStroked" w:sz="24" w:space="0" w:color="000000" w:themeColor="text1"/>
            </w:tcBorders>
          </w:tcPr>
          <w:p w14:paraId="77A206E0"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right w:val="dashDotStroked" w:sz="24" w:space="0" w:color="000000" w:themeColor="text1"/>
            </w:tcBorders>
          </w:tcPr>
          <w:p w14:paraId="1DEEAE32"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689D808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2.8416        eliminated         –</w:t>
            </w:r>
          </w:p>
        </w:tc>
      </w:tr>
      <w:tr w:rsidR="000A21CD" w:rsidRPr="006E2A7D" w14:paraId="76CA63B2"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399C5457" w14:textId="77777777" w:rsidR="000A21CD" w:rsidRPr="006E2A7D" w:rsidRDefault="000A21CD" w:rsidP="006D69F3">
            <w:pPr>
              <w:shd w:val="clear" w:color="auto" w:fill="FFFFFF" w:themeFill="background1"/>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3D5C6532"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0.3140     eliminated           7 </w:t>
            </w:r>
          </w:p>
        </w:tc>
        <w:tc>
          <w:tcPr>
            <w:tcW w:w="542" w:type="dxa"/>
            <w:tcBorders>
              <w:left w:val="dashDotStroked" w:sz="24" w:space="0" w:color="000000" w:themeColor="text1"/>
              <w:right w:val="dashDotStroked" w:sz="24" w:space="0" w:color="000000" w:themeColor="text1"/>
            </w:tcBorders>
          </w:tcPr>
          <w:p w14:paraId="1CA315F8"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378E86A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71D0EAB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2.8504        eliminated         –</w:t>
            </w:r>
          </w:p>
        </w:tc>
      </w:tr>
      <w:tr w:rsidR="000A21CD" w:rsidRPr="006E2A7D" w14:paraId="5E6D9AAF"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4D5F9A6D" w14:textId="77777777" w:rsidR="000A21CD" w:rsidRPr="006E2A7D" w:rsidRDefault="000A21CD" w:rsidP="006D69F3">
            <w:pPr>
              <w:shd w:val="clear" w:color="auto" w:fill="FFFFFF" w:themeFill="background1"/>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67B41DB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0.2816     1.0000                  2</w:t>
            </w:r>
          </w:p>
        </w:tc>
        <w:tc>
          <w:tcPr>
            <w:tcW w:w="542" w:type="dxa"/>
            <w:tcBorders>
              <w:left w:val="dashDotStroked" w:sz="24" w:space="0" w:color="000000" w:themeColor="text1"/>
              <w:right w:val="dashDotStroked" w:sz="24" w:space="0" w:color="000000" w:themeColor="text1"/>
            </w:tcBorders>
          </w:tcPr>
          <w:p w14:paraId="03E3DDD4"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57C1CF4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4139B8A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2.7036        eliminated         –</w:t>
            </w:r>
          </w:p>
        </w:tc>
      </w:tr>
      <w:tr w:rsidR="000A21CD" w:rsidRPr="006E2A7D" w14:paraId="23BDCF57"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2DD4185F" w14:textId="77777777" w:rsidR="000A21CD" w:rsidRPr="006E2A7D" w:rsidRDefault="000A21CD" w:rsidP="006D69F3">
            <w:pPr>
              <w:shd w:val="clear" w:color="auto" w:fill="FFFFFF" w:themeFill="background1"/>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3CB7C47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w:t>
            </w:r>
            <w:r w:rsidRPr="00B80330">
              <w:rPr>
                <w:sz w:val="18"/>
                <w:szCs w:val="18"/>
              </w:rPr>
              <w:t>0.2806</w:t>
            </w:r>
            <w:r w:rsidRPr="006E2A7D">
              <w:rPr>
                <w:sz w:val="18"/>
                <w:szCs w:val="18"/>
              </w:rPr>
              <w:t xml:space="preserve">     1.0000                  1</w:t>
            </w:r>
          </w:p>
        </w:tc>
        <w:tc>
          <w:tcPr>
            <w:tcW w:w="542" w:type="dxa"/>
            <w:tcBorders>
              <w:left w:val="dashDotStroked" w:sz="24" w:space="0" w:color="000000" w:themeColor="text1"/>
              <w:right w:val="dashDotStroked" w:sz="24" w:space="0" w:color="000000" w:themeColor="text1"/>
            </w:tcBorders>
          </w:tcPr>
          <w:p w14:paraId="70F8B56F"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105569F9"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37CF38AB"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B80330">
              <w:rPr>
                <w:sz w:val="18"/>
                <w:szCs w:val="18"/>
              </w:rPr>
              <w:t>2.5594</w:t>
            </w:r>
            <w:r w:rsidRPr="006E2A7D">
              <w:rPr>
                <w:sz w:val="18"/>
                <w:szCs w:val="18"/>
              </w:rPr>
              <w:t xml:space="preserve">        1.0000                1</w:t>
            </w:r>
          </w:p>
        </w:tc>
      </w:tr>
      <w:tr w:rsidR="000A21CD" w:rsidRPr="006E2A7D" w14:paraId="1B356DA0"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43C80091" w14:textId="77777777" w:rsidR="000A21CD" w:rsidRPr="006E2A7D" w:rsidRDefault="000A21CD" w:rsidP="006D69F3">
            <w:pPr>
              <w:shd w:val="clear" w:color="auto" w:fill="FFFFFF" w:themeFill="background1"/>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6ACA8AD9"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0.2887     1.0000                  3 </w:t>
            </w:r>
          </w:p>
        </w:tc>
        <w:tc>
          <w:tcPr>
            <w:tcW w:w="542" w:type="dxa"/>
            <w:tcBorders>
              <w:left w:val="dashDotStroked" w:sz="24" w:space="0" w:color="000000" w:themeColor="text1"/>
              <w:right w:val="dashDotStroked" w:sz="24" w:space="0" w:color="000000" w:themeColor="text1"/>
            </w:tcBorders>
          </w:tcPr>
          <w:p w14:paraId="773D8E4E"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0F8940B2"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1F83B7F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2.6977        eliminated         –</w:t>
            </w:r>
          </w:p>
        </w:tc>
      </w:tr>
      <w:tr w:rsidR="000A21CD" w:rsidRPr="006E2A7D" w14:paraId="2838F151"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6BBB665E" w14:textId="77777777" w:rsidR="000A21CD" w:rsidRPr="006E2A7D" w:rsidRDefault="000A21CD" w:rsidP="006D69F3">
            <w:pPr>
              <w:shd w:val="clear" w:color="auto" w:fill="FFFFFF" w:themeFill="background1"/>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0F531CC9"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0.2892     0.4778                  6 </w:t>
            </w:r>
          </w:p>
        </w:tc>
        <w:tc>
          <w:tcPr>
            <w:tcW w:w="542" w:type="dxa"/>
            <w:tcBorders>
              <w:left w:val="dashDotStroked" w:sz="24" w:space="0" w:color="000000" w:themeColor="text1"/>
              <w:right w:val="dashDotStroked" w:sz="24" w:space="0" w:color="000000" w:themeColor="text1"/>
            </w:tcBorders>
          </w:tcPr>
          <w:p w14:paraId="02840F95"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1F56825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54D270A9"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2.9010        eliminated         –</w:t>
            </w:r>
          </w:p>
        </w:tc>
      </w:tr>
      <w:tr w:rsidR="000A21CD" w:rsidRPr="006E2A7D" w14:paraId="67068C7F"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2B8E75D0" w14:textId="77777777" w:rsidR="000A21CD" w:rsidRPr="006E2A7D" w:rsidRDefault="000A21CD" w:rsidP="006D69F3">
            <w:pPr>
              <w:shd w:val="clear" w:color="auto" w:fill="FFFFFF" w:themeFill="background1"/>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134A67A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0.2860     1.0000                  4 </w:t>
            </w:r>
          </w:p>
        </w:tc>
        <w:tc>
          <w:tcPr>
            <w:tcW w:w="542" w:type="dxa"/>
            <w:tcBorders>
              <w:left w:val="dashDotStroked" w:sz="24" w:space="0" w:color="000000" w:themeColor="text1"/>
              <w:right w:val="dashDotStroked" w:sz="24" w:space="0" w:color="000000" w:themeColor="text1"/>
            </w:tcBorders>
          </w:tcPr>
          <w:p w14:paraId="2878641D"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2DA5879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424EE07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2.8410        eliminated         –</w:t>
            </w:r>
          </w:p>
        </w:tc>
      </w:tr>
      <w:tr w:rsidR="000A21CD" w:rsidRPr="006E2A7D" w14:paraId="11C8ECD7"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bottom w:val="dashDotStroked" w:sz="24" w:space="0" w:color="000000" w:themeColor="text1"/>
              <w:right w:val="dashDotStroked" w:sz="24" w:space="0" w:color="000000" w:themeColor="text1"/>
            </w:tcBorders>
          </w:tcPr>
          <w:p w14:paraId="0148DEB9" w14:textId="77777777" w:rsidR="000A21CD" w:rsidRPr="006E2A7D" w:rsidRDefault="000A21CD" w:rsidP="006D69F3">
            <w:pPr>
              <w:shd w:val="clear" w:color="auto" w:fill="FFFFFF" w:themeFill="background1"/>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639518F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542" w:type="dxa"/>
            <w:tcBorders>
              <w:left w:val="dashDotStroked" w:sz="24" w:space="0" w:color="000000" w:themeColor="text1"/>
              <w:bottom w:val="dashDotStroked" w:sz="24" w:space="0" w:color="000000" w:themeColor="text1"/>
              <w:right w:val="dashDotStroked" w:sz="24" w:space="0" w:color="000000" w:themeColor="text1"/>
            </w:tcBorders>
          </w:tcPr>
          <w:p w14:paraId="69EC0A62"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bottom w:val="dashDotStroked" w:sz="24" w:space="0" w:color="000000" w:themeColor="text1"/>
              <w:right w:val="dashDotStroked" w:sz="24" w:space="0" w:color="000000" w:themeColor="text1"/>
            </w:tcBorders>
          </w:tcPr>
          <w:p w14:paraId="1F57358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6FAE6E4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r>
      <w:tr w:rsidR="000A21CD" w:rsidRPr="006E2A7D" w14:paraId="52CA9D32"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6432A82E" w14:textId="77777777" w:rsidR="000A21CD" w:rsidRPr="006E2A7D" w:rsidRDefault="000A21CD" w:rsidP="006D69F3">
            <w:pPr>
              <w:shd w:val="clear" w:color="auto" w:fill="FFFFFF" w:themeFill="background1"/>
              <w:rPr>
                <w:sz w:val="18"/>
                <w:szCs w:val="18"/>
              </w:rPr>
            </w:pPr>
            <w:r w:rsidRPr="006E2A7D">
              <w:rPr>
                <w:sz w:val="18"/>
                <w:szCs w:val="18"/>
              </w:rPr>
              <w:t>FTSEMIB</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066ACFC5"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QLIKE      p-value           Rank</w:t>
            </w:r>
          </w:p>
        </w:tc>
        <w:tc>
          <w:tcPr>
            <w:tcW w:w="542"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4AB170FD"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14486B2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FTSEMIB</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3942CD4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HMSE       p-value           Rank</w:t>
            </w:r>
          </w:p>
        </w:tc>
      </w:tr>
      <w:tr w:rsidR="000A21CD" w:rsidRPr="006E2A7D" w14:paraId="5D4A556C"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right w:val="dashDotStroked" w:sz="24" w:space="0" w:color="000000" w:themeColor="text1"/>
            </w:tcBorders>
          </w:tcPr>
          <w:p w14:paraId="41FD7708" w14:textId="77777777" w:rsidR="000A21CD" w:rsidRPr="006E2A7D" w:rsidRDefault="000A21CD" w:rsidP="006D69F3">
            <w:pPr>
              <w:shd w:val="clear" w:color="auto" w:fill="FFFFFF" w:themeFill="background1"/>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33CC4F0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0.1509     0.5504                4 </w:t>
            </w:r>
          </w:p>
        </w:tc>
        <w:tc>
          <w:tcPr>
            <w:tcW w:w="542" w:type="dxa"/>
            <w:tcBorders>
              <w:top w:val="dashDotStroked" w:sz="24" w:space="0" w:color="000000" w:themeColor="text1"/>
              <w:left w:val="dashDotStroked" w:sz="24" w:space="0" w:color="000000" w:themeColor="text1"/>
              <w:right w:val="dashDotStroked" w:sz="24" w:space="0" w:color="000000" w:themeColor="text1"/>
            </w:tcBorders>
          </w:tcPr>
          <w:p w14:paraId="40000F84"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right w:val="dashDotStroked" w:sz="24" w:space="0" w:color="000000" w:themeColor="text1"/>
            </w:tcBorders>
          </w:tcPr>
          <w:p w14:paraId="5D60043B"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478F3E0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1.6260       0.5534                6</w:t>
            </w:r>
          </w:p>
        </w:tc>
      </w:tr>
      <w:tr w:rsidR="000A21CD" w:rsidRPr="006E2A7D" w14:paraId="0063BEC7"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07BBFEC2" w14:textId="77777777" w:rsidR="000A21CD" w:rsidRPr="006E2A7D" w:rsidRDefault="000A21CD" w:rsidP="006D69F3">
            <w:pPr>
              <w:shd w:val="clear" w:color="auto" w:fill="FFFFFF" w:themeFill="background1"/>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522908E1"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0.1492     1.0000                2</w:t>
            </w:r>
          </w:p>
        </w:tc>
        <w:tc>
          <w:tcPr>
            <w:tcW w:w="542" w:type="dxa"/>
            <w:tcBorders>
              <w:left w:val="dashDotStroked" w:sz="24" w:space="0" w:color="000000" w:themeColor="text1"/>
              <w:right w:val="dashDotStroked" w:sz="24" w:space="0" w:color="000000" w:themeColor="text1"/>
            </w:tcBorders>
          </w:tcPr>
          <w:p w14:paraId="0B46869E"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2BA71DF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45343F0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1.5580       0.4120                2</w:t>
            </w:r>
          </w:p>
        </w:tc>
      </w:tr>
      <w:tr w:rsidR="000A21CD" w:rsidRPr="006E2A7D" w14:paraId="37733A04"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0D9A7EBC" w14:textId="77777777" w:rsidR="000A21CD" w:rsidRPr="006E2A7D" w:rsidRDefault="000A21CD" w:rsidP="006D69F3">
            <w:pPr>
              <w:shd w:val="clear" w:color="auto" w:fill="FFFFFF" w:themeFill="background1"/>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7AFCACB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w:t>
            </w:r>
            <w:r w:rsidRPr="00B80330">
              <w:rPr>
                <w:sz w:val="18"/>
                <w:szCs w:val="18"/>
              </w:rPr>
              <w:t>0.1470</w:t>
            </w:r>
            <w:r w:rsidRPr="006E2A7D">
              <w:rPr>
                <w:sz w:val="18"/>
                <w:szCs w:val="18"/>
              </w:rPr>
              <w:t xml:space="preserve">     1.0000                1</w:t>
            </w:r>
          </w:p>
        </w:tc>
        <w:tc>
          <w:tcPr>
            <w:tcW w:w="542" w:type="dxa"/>
            <w:tcBorders>
              <w:left w:val="dashDotStroked" w:sz="24" w:space="0" w:color="000000" w:themeColor="text1"/>
              <w:right w:val="dashDotStroked" w:sz="24" w:space="0" w:color="000000" w:themeColor="text1"/>
            </w:tcBorders>
          </w:tcPr>
          <w:p w14:paraId="4A7BD0F1"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0B0B8A6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54C8D3D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1.5920       1.0000                4</w:t>
            </w:r>
          </w:p>
        </w:tc>
      </w:tr>
      <w:tr w:rsidR="000A21CD" w:rsidRPr="006E2A7D" w14:paraId="16CF323B"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5A8588AA" w14:textId="77777777" w:rsidR="000A21CD" w:rsidRPr="006E2A7D" w:rsidRDefault="000A21CD" w:rsidP="006D69F3">
            <w:pPr>
              <w:shd w:val="clear" w:color="auto" w:fill="FFFFFF" w:themeFill="background1"/>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4FD8BA19"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0.1518     0.1598                6</w:t>
            </w:r>
          </w:p>
        </w:tc>
        <w:tc>
          <w:tcPr>
            <w:tcW w:w="542" w:type="dxa"/>
            <w:tcBorders>
              <w:left w:val="dashDotStroked" w:sz="24" w:space="0" w:color="000000" w:themeColor="text1"/>
              <w:right w:val="dashDotStroked" w:sz="24" w:space="0" w:color="000000" w:themeColor="text1"/>
            </w:tcBorders>
          </w:tcPr>
          <w:p w14:paraId="486830D7"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6026873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411D2989"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1.6090       eliminated         – </w:t>
            </w:r>
          </w:p>
        </w:tc>
      </w:tr>
      <w:tr w:rsidR="000A21CD" w:rsidRPr="006E2A7D" w14:paraId="086F8379"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25C6C386" w14:textId="77777777" w:rsidR="000A21CD" w:rsidRPr="006E2A7D" w:rsidRDefault="000A21CD" w:rsidP="006D69F3">
            <w:pPr>
              <w:shd w:val="clear" w:color="auto" w:fill="FFFFFF" w:themeFill="background1"/>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5547A719"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0.1519     1.0000                3</w:t>
            </w:r>
          </w:p>
        </w:tc>
        <w:tc>
          <w:tcPr>
            <w:tcW w:w="542" w:type="dxa"/>
            <w:tcBorders>
              <w:left w:val="dashDotStroked" w:sz="24" w:space="0" w:color="000000" w:themeColor="text1"/>
              <w:right w:val="dashDotStroked" w:sz="24" w:space="0" w:color="000000" w:themeColor="text1"/>
            </w:tcBorders>
          </w:tcPr>
          <w:p w14:paraId="38E2457F"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5B90E3B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607BCCD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B80330">
              <w:rPr>
                <w:sz w:val="18"/>
                <w:szCs w:val="18"/>
              </w:rPr>
              <w:t>1.4940</w:t>
            </w:r>
            <w:r w:rsidRPr="006E2A7D">
              <w:rPr>
                <w:sz w:val="18"/>
                <w:szCs w:val="18"/>
              </w:rPr>
              <w:t xml:space="preserve">       1.0000                1</w:t>
            </w:r>
          </w:p>
        </w:tc>
      </w:tr>
      <w:tr w:rsidR="000A21CD" w:rsidRPr="006E2A7D" w14:paraId="261964E5"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bottom w:val="single" w:sz="4" w:space="0" w:color="8EAADB" w:themeColor="accent1" w:themeTint="99"/>
              <w:right w:val="dashDotStroked" w:sz="24" w:space="0" w:color="000000" w:themeColor="text1"/>
            </w:tcBorders>
          </w:tcPr>
          <w:p w14:paraId="3913611F" w14:textId="77777777" w:rsidR="000A21CD" w:rsidRPr="006E2A7D" w:rsidRDefault="000A21CD" w:rsidP="006D69F3">
            <w:pPr>
              <w:shd w:val="clear" w:color="auto" w:fill="FFFFFF" w:themeFill="background1"/>
              <w:rPr>
                <w:sz w:val="18"/>
                <w:szCs w:val="18"/>
              </w:rPr>
            </w:pPr>
            <w:r w:rsidRPr="006E2A7D">
              <w:rPr>
                <w:sz w:val="18"/>
                <w:szCs w:val="18"/>
              </w:rPr>
              <w:t>HAR-RV-RS</w:t>
            </w:r>
          </w:p>
        </w:tc>
        <w:tc>
          <w:tcPr>
            <w:tcW w:w="2835" w:type="dxa"/>
            <w:tcBorders>
              <w:left w:val="dashDotStroked" w:sz="24" w:space="0" w:color="000000" w:themeColor="text1"/>
              <w:bottom w:val="single" w:sz="4" w:space="0" w:color="8EAADB" w:themeColor="accent1" w:themeTint="99"/>
              <w:right w:val="dashDotStroked" w:sz="24" w:space="0" w:color="000000" w:themeColor="text1"/>
            </w:tcBorders>
          </w:tcPr>
          <w:p w14:paraId="3781A38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0.1583     eliminated         7 </w:t>
            </w:r>
          </w:p>
        </w:tc>
        <w:tc>
          <w:tcPr>
            <w:tcW w:w="542" w:type="dxa"/>
            <w:tcBorders>
              <w:left w:val="dashDotStroked" w:sz="24" w:space="0" w:color="000000" w:themeColor="text1"/>
              <w:bottom w:val="single" w:sz="4" w:space="0" w:color="8EAADB" w:themeColor="accent1" w:themeTint="99"/>
              <w:right w:val="dashDotStroked" w:sz="24" w:space="0" w:color="000000" w:themeColor="text1"/>
            </w:tcBorders>
          </w:tcPr>
          <w:p w14:paraId="036B2D8A"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bottom w:val="single" w:sz="4" w:space="0" w:color="8EAADB" w:themeColor="accent1" w:themeTint="99"/>
              <w:right w:val="dashDotStroked" w:sz="24" w:space="0" w:color="000000" w:themeColor="text1"/>
            </w:tcBorders>
          </w:tcPr>
          <w:p w14:paraId="41BEC32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HAR-RV-RS</w:t>
            </w:r>
          </w:p>
        </w:tc>
        <w:tc>
          <w:tcPr>
            <w:tcW w:w="2835" w:type="dxa"/>
            <w:tcBorders>
              <w:left w:val="dashDotStroked" w:sz="24" w:space="0" w:color="000000" w:themeColor="text1"/>
              <w:bottom w:val="single" w:sz="4" w:space="0" w:color="8EAADB" w:themeColor="accent1" w:themeTint="99"/>
              <w:right w:val="dashDotStroked" w:sz="24" w:space="0" w:color="000000" w:themeColor="text1"/>
            </w:tcBorders>
          </w:tcPr>
          <w:p w14:paraId="4E51759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1.6650       1.0000                5</w:t>
            </w:r>
          </w:p>
        </w:tc>
      </w:tr>
      <w:tr w:rsidR="000A21CD" w:rsidRPr="006E2A7D" w14:paraId="520EF55B"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8EAADB" w:themeColor="accent1" w:themeTint="99"/>
              <w:left w:val="dashDotStroked" w:sz="24" w:space="0" w:color="000000" w:themeColor="text1"/>
              <w:bottom w:val="single" w:sz="4" w:space="0" w:color="8EAADB" w:themeColor="accent1" w:themeTint="99"/>
              <w:right w:val="dashDotStroked" w:sz="24" w:space="0" w:color="000000" w:themeColor="text1"/>
            </w:tcBorders>
          </w:tcPr>
          <w:p w14:paraId="374077C3" w14:textId="77777777" w:rsidR="000A21CD" w:rsidRPr="006E2A7D" w:rsidRDefault="000A21CD" w:rsidP="006D69F3">
            <w:pPr>
              <w:shd w:val="clear" w:color="auto" w:fill="FFFFFF" w:themeFill="background1"/>
              <w:rPr>
                <w:sz w:val="18"/>
                <w:szCs w:val="18"/>
              </w:rPr>
            </w:pPr>
            <w:r w:rsidRPr="006E2A7D">
              <w:rPr>
                <w:sz w:val="18"/>
                <w:szCs w:val="18"/>
              </w:rPr>
              <w:t>HAR-RV-YZ</w:t>
            </w:r>
          </w:p>
        </w:tc>
        <w:tc>
          <w:tcPr>
            <w:tcW w:w="2835" w:type="dxa"/>
            <w:tcBorders>
              <w:top w:val="single" w:sz="4" w:space="0" w:color="8EAADB" w:themeColor="accent1" w:themeTint="99"/>
              <w:left w:val="dashDotStroked" w:sz="24" w:space="0" w:color="000000" w:themeColor="text1"/>
              <w:bottom w:val="single" w:sz="4" w:space="0" w:color="8EAADB" w:themeColor="accent1" w:themeTint="99"/>
              <w:right w:val="dashDotStroked" w:sz="24" w:space="0" w:color="000000" w:themeColor="text1"/>
            </w:tcBorders>
          </w:tcPr>
          <w:p w14:paraId="3F3F542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0.1504     0.3996                5</w:t>
            </w:r>
          </w:p>
        </w:tc>
        <w:tc>
          <w:tcPr>
            <w:tcW w:w="542" w:type="dxa"/>
            <w:tcBorders>
              <w:top w:val="single" w:sz="4" w:space="0" w:color="8EAADB" w:themeColor="accent1" w:themeTint="99"/>
              <w:left w:val="dashDotStroked" w:sz="24" w:space="0" w:color="000000" w:themeColor="text1"/>
              <w:bottom w:val="single" w:sz="4" w:space="0" w:color="8EAADB" w:themeColor="accent1" w:themeTint="99"/>
              <w:right w:val="dashDotStroked" w:sz="24" w:space="0" w:color="000000" w:themeColor="text1"/>
            </w:tcBorders>
          </w:tcPr>
          <w:p w14:paraId="7B8B12C2"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single" w:sz="4" w:space="0" w:color="8EAADB" w:themeColor="accent1" w:themeTint="99"/>
              <w:left w:val="dashDotStroked" w:sz="24" w:space="0" w:color="000000" w:themeColor="text1"/>
              <w:bottom w:val="single" w:sz="4" w:space="0" w:color="8EAADB" w:themeColor="accent1" w:themeTint="99"/>
              <w:right w:val="dashDotStroked" w:sz="24" w:space="0" w:color="000000" w:themeColor="text1"/>
            </w:tcBorders>
          </w:tcPr>
          <w:p w14:paraId="215B931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HAR-RV-YZ</w:t>
            </w:r>
          </w:p>
        </w:tc>
        <w:tc>
          <w:tcPr>
            <w:tcW w:w="2835" w:type="dxa"/>
            <w:tcBorders>
              <w:top w:val="single" w:sz="4" w:space="0" w:color="8EAADB" w:themeColor="accent1" w:themeTint="99"/>
              <w:left w:val="dashDotStroked" w:sz="24" w:space="0" w:color="000000" w:themeColor="text1"/>
              <w:bottom w:val="single" w:sz="4" w:space="0" w:color="8EAADB" w:themeColor="accent1" w:themeTint="99"/>
              <w:right w:val="dashDotStroked" w:sz="24" w:space="0" w:color="000000" w:themeColor="text1"/>
            </w:tcBorders>
          </w:tcPr>
          <w:p w14:paraId="5126A18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1.5570       0.2766                3</w:t>
            </w:r>
          </w:p>
        </w:tc>
      </w:tr>
      <w:tr w:rsidR="000A21CD" w:rsidRPr="006E2A7D" w14:paraId="5BF5E4A7"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8EAADB" w:themeColor="accent1" w:themeTint="99"/>
              <w:left w:val="dashDotStroked" w:sz="24" w:space="0" w:color="000000" w:themeColor="text1"/>
              <w:bottom w:val="dashDotStroked" w:sz="24" w:space="0" w:color="000000" w:themeColor="text1"/>
              <w:right w:val="dashDotStroked" w:sz="24" w:space="0" w:color="000000" w:themeColor="text1"/>
            </w:tcBorders>
          </w:tcPr>
          <w:p w14:paraId="22E78AF0" w14:textId="77777777" w:rsidR="000A21CD" w:rsidRPr="006E2A7D" w:rsidRDefault="000A21CD" w:rsidP="006D69F3">
            <w:pPr>
              <w:shd w:val="clear" w:color="auto" w:fill="FFFFFF" w:themeFill="background1"/>
              <w:rPr>
                <w:sz w:val="18"/>
                <w:szCs w:val="18"/>
              </w:rPr>
            </w:pPr>
          </w:p>
        </w:tc>
        <w:tc>
          <w:tcPr>
            <w:tcW w:w="2835" w:type="dxa"/>
            <w:tcBorders>
              <w:top w:val="single" w:sz="4" w:space="0" w:color="8EAADB" w:themeColor="accent1" w:themeTint="99"/>
              <w:left w:val="dashDotStroked" w:sz="24" w:space="0" w:color="000000" w:themeColor="text1"/>
              <w:bottom w:val="dashDotStroked" w:sz="24" w:space="0" w:color="000000" w:themeColor="text1"/>
              <w:right w:val="dashDotStroked" w:sz="24" w:space="0" w:color="000000" w:themeColor="text1"/>
            </w:tcBorders>
          </w:tcPr>
          <w:p w14:paraId="27C9DBB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542" w:type="dxa"/>
            <w:tcBorders>
              <w:top w:val="single" w:sz="4" w:space="0" w:color="8EAADB" w:themeColor="accent1" w:themeTint="99"/>
              <w:left w:val="dashDotStroked" w:sz="24" w:space="0" w:color="000000" w:themeColor="text1"/>
              <w:bottom w:val="dashDotStroked" w:sz="24" w:space="0" w:color="000000" w:themeColor="text1"/>
              <w:right w:val="dashDotStroked" w:sz="24" w:space="0" w:color="000000" w:themeColor="text1"/>
            </w:tcBorders>
          </w:tcPr>
          <w:p w14:paraId="05FF2D70"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single" w:sz="4" w:space="0" w:color="8EAADB" w:themeColor="accent1" w:themeTint="99"/>
              <w:left w:val="dashDotStroked" w:sz="24" w:space="0" w:color="000000" w:themeColor="text1"/>
              <w:bottom w:val="dashDotStroked" w:sz="24" w:space="0" w:color="000000" w:themeColor="text1"/>
              <w:right w:val="dashDotStroked" w:sz="24" w:space="0" w:color="000000" w:themeColor="text1"/>
            </w:tcBorders>
          </w:tcPr>
          <w:p w14:paraId="297EE46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p>
        </w:tc>
        <w:tc>
          <w:tcPr>
            <w:tcW w:w="2835" w:type="dxa"/>
            <w:tcBorders>
              <w:top w:val="single" w:sz="4" w:space="0" w:color="8EAADB" w:themeColor="accent1" w:themeTint="99"/>
              <w:left w:val="dashDotStroked" w:sz="24" w:space="0" w:color="000000" w:themeColor="text1"/>
              <w:bottom w:val="dashDotStroked" w:sz="24" w:space="0" w:color="000000" w:themeColor="text1"/>
              <w:right w:val="dashDotStroked" w:sz="24" w:space="0" w:color="000000" w:themeColor="text1"/>
            </w:tcBorders>
          </w:tcPr>
          <w:p w14:paraId="040C03A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r>
      <w:tr w:rsidR="000A21CD" w:rsidRPr="006E2A7D" w14:paraId="4C5F793B"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0351CE96" w14:textId="77777777" w:rsidR="000A21CD" w:rsidRPr="006E2A7D" w:rsidRDefault="000A21CD" w:rsidP="006D69F3">
            <w:pPr>
              <w:shd w:val="clear" w:color="auto" w:fill="FFFFFF" w:themeFill="background1"/>
              <w:rPr>
                <w:sz w:val="18"/>
                <w:szCs w:val="18"/>
              </w:rPr>
            </w:pPr>
            <w:r w:rsidRPr="006E2A7D">
              <w:rPr>
                <w:sz w:val="18"/>
                <w:szCs w:val="18"/>
              </w:rPr>
              <w:t>NIKKEI</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746F03E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QLIKE      p-value            Rank</w:t>
            </w:r>
          </w:p>
        </w:tc>
        <w:tc>
          <w:tcPr>
            <w:tcW w:w="542"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61F532E5"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16AE6FB5"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NIKKEI</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3D00378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HMSE      p-value            Rank</w:t>
            </w:r>
          </w:p>
        </w:tc>
      </w:tr>
      <w:tr w:rsidR="000A21CD" w:rsidRPr="006E2A7D" w14:paraId="32648E7C"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right w:val="dashDotStroked" w:sz="24" w:space="0" w:color="000000" w:themeColor="text1"/>
            </w:tcBorders>
          </w:tcPr>
          <w:p w14:paraId="05BAACF2" w14:textId="77777777" w:rsidR="000A21CD" w:rsidRPr="006E2A7D" w:rsidRDefault="000A21CD" w:rsidP="006D69F3">
            <w:pPr>
              <w:shd w:val="clear" w:color="auto" w:fill="FFFFFF" w:themeFill="background1"/>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6589719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0.2863     0.9072                  2 </w:t>
            </w:r>
          </w:p>
        </w:tc>
        <w:tc>
          <w:tcPr>
            <w:tcW w:w="542" w:type="dxa"/>
            <w:tcBorders>
              <w:top w:val="dashDotStroked" w:sz="24" w:space="0" w:color="000000" w:themeColor="text1"/>
              <w:left w:val="dashDotStroked" w:sz="24" w:space="0" w:color="000000" w:themeColor="text1"/>
              <w:right w:val="dashDotStroked" w:sz="24" w:space="0" w:color="000000" w:themeColor="text1"/>
            </w:tcBorders>
          </w:tcPr>
          <w:p w14:paraId="64D7981A"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right w:val="dashDotStroked" w:sz="24" w:space="0" w:color="000000" w:themeColor="text1"/>
            </w:tcBorders>
          </w:tcPr>
          <w:p w14:paraId="3DF30D0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304717B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1.6990       0.1100                 6</w:t>
            </w:r>
          </w:p>
        </w:tc>
      </w:tr>
      <w:tr w:rsidR="000A21CD" w:rsidRPr="006E2A7D" w14:paraId="4D1B32B4"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56BAF2D4" w14:textId="77777777" w:rsidR="000A21CD" w:rsidRPr="006E2A7D" w:rsidRDefault="000A21CD" w:rsidP="006D69F3">
            <w:pPr>
              <w:shd w:val="clear" w:color="auto" w:fill="FFFFFF" w:themeFill="background1"/>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5D02894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0.2903     0.7524                  3 </w:t>
            </w:r>
          </w:p>
        </w:tc>
        <w:tc>
          <w:tcPr>
            <w:tcW w:w="542" w:type="dxa"/>
            <w:tcBorders>
              <w:left w:val="dashDotStroked" w:sz="24" w:space="0" w:color="000000" w:themeColor="text1"/>
              <w:right w:val="dashDotStroked" w:sz="24" w:space="0" w:color="000000" w:themeColor="text1"/>
            </w:tcBorders>
          </w:tcPr>
          <w:p w14:paraId="455A4A74"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33E72B2B"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466FE11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1.7850       0.0312                 7</w:t>
            </w:r>
          </w:p>
        </w:tc>
      </w:tr>
      <w:tr w:rsidR="000A21CD" w:rsidRPr="006E2A7D" w14:paraId="24D163B3"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27750D31" w14:textId="77777777" w:rsidR="000A21CD" w:rsidRPr="006E2A7D" w:rsidRDefault="000A21CD" w:rsidP="006D69F3">
            <w:pPr>
              <w:shd w:val="clear" w:color="auto" w:fill="FFFFFF" w:themeFill="background1"/>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5087D68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w:t>
            </w:r>
            <w:r w:rsidRPr="00B80330">
              <w:rPr>
                <w:sz w:val="18"/>
                <w:szCs w:val="18"/>
              </w:rPr>
              <w:t>0.2835</w:t>
            </w:r>
            <w:r w:rsidRPr="006E2A7D">
              <w:rPr>
                <w:sz w:val="18"/>
                <w:szCs w:val="18"/>
              </w:rPr>
              <w:t xml:space="preserve">     1.0000                  1</w:t>
            </w:r>
          </w:p>
        </w:tc>
        <w:tc>
          <w:tcPr>
            <w:tcW w:w="542" w:type="dxa"/>
            <w:tcBorders>
              <w:left w:val="dashDotStroked" w:sz="24" w:space="0" w:color="000000" w:themeColor="text1"/>
              <w:right w:val="dashDotStroked" w:sz="24" w:space="0" w:color="000000" w:themeColor="text1"/>
            </w:tcBorders>
          </w:tcPr>
          <w:p w14:paraId="063F09EA"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3B6C00F1"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396CFA7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B80330">
              <w:rPr>
                <w:sz w:val="18"/>
                <w:szCs w:val="18"/>
              </w:rPr>
              <w:t>1.6020</w:t>
            </w:r>
            <w:r w:rsidRPr="006E2A7D">
              <w:rPr>
                <w:sz w:val="18"/>
                <w:szCs w:val="18"/>
              </w:rPr>
              <w:t xml:space="preserve">       1.0000                 1</w:t>
            </w:r>
          </w:p>
        </w:tc>
      </w:tr>
      <w:tr w:rsidR="000A21CD" w:rsidRPr="006E2A7D" w14:paraId="6BBB0674"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0FEA93E9" w14:textId="77777777" w:rsidR="000A21CD" w:rsidRPr="006E2A7D" w:rsidRDefault="000A21CD" w:rsidP="006D69F3">
            <w:pPr>
              <w:shd w:val="clear" w:color="auto" w:fill="FFFFFF" w:themeFill="background1"/>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353908D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0.5478     eliminated           7 </w:t>
            </w:r>
          </w:p>
        </w:tc>
        <w:tc>
          <w:tcPr>
            <w:tcW w:w="542" w:type="dxa"/>
            <w:tcBorders>
              <w:left w:val="dashDotStroked" w:sz="24" w:space="0" w:color="000000" w:themeColor="text1"/>
              <w:right w:val="dashDotStroked" w:sz="24" w:space="0" w:color="000000" w:themeColor="text1"/>
            </w:tcBorders>
          </w:tcPr>
          <w:p w14:paraId="68160177"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2F4323C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3DBF375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1.7560       1.0000                 4</w:t>
            </w:r>
          </w:p>
        </w:tc>
      </w:tr>
      <w:tr w:rsidR="000A21CD" w:rsidRPr="006E2A7D" w14:paraId="4B8F01E2"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00F38808" w14:textId="77777777" w:rsidR="000A21CD" w:rsidRPr="006E2A7D" w:rsidRDefault="000A21CD" w:rsidP="006D69F3">
            <w:pPr>
              <w:shd w:val="clear" w:color="auto" w:fill="FFFFFF" w:themeFill="background1"/>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19B6400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0.4080     eliminated           6 </w:t>
            </w:r>
          </w:p>
        </w:tc>
        <w:tc>
          <w:tcPr>
            <w:tcW w:w="542" w:type="dxa"/>
            <w:tcBorders>
              <w:left w:val="dashDotStroked" w:sz="24" w:space="0" w:color="000000" w:themeColor="text1"/>
              <w:right w:val="dashDotStroked" w:sz="24" w:space="0" w:color="000000" w:themeColor="text1"/>
            </w:tcBorders>
          </w:tcPr>
          <w:p w14:paraId="7FC1F01A"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4E25125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7F3C68D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1.7240       1.0000                 3</w:t>
            </w:r>
          </w:p>
        </w:tc>
      </w:tr>
      <w:tr w:rsidR="000A21CD" w:rsidRPr="006E2A7D" w14:paraId="72C90347"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484805A8" w14:textId="77777777" w:rsidR="000A21CD" w:rsidRPr="006E2A7D" w:rsidRDefault="000A21CD" w:rsidP="006D69F3">
            <w:pPr>
              <w:shd w:val="clear" w:color="auto" w:fill="FFFFFF" w:themeFill="background1"/>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0E0DCD9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0.3754     eliminated           5 </w:t>
            </w:r>
          </w:p>
        </w:tc>
        <w:tc>
          <w:tcPr>
            <w:tcW w:w="542" w:type="dxa"/>
            <w:tcBorders>
              <w:left w:val="dashDotStroked" w:sz="24" w:space="0" w:color="000000" w:themeColor="text1"/>
              <w:right w:val="dashDotStroked" w:sz="24" w:space="0" w:color="000000" w:themeColor="text1"/>
            </w:tcBorders>
          </w:tcPr>
          <w:p w14:paraId="42958967"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7DC502F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0A0EBF2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1.7870       1.0000                 5</w:t>
            </w:r>
          </w:p>
        </w:tc>
      </w:tr>
      <w:tr w:rsidR="000A21CD" w:rsidRPr="006E2A7D" w14:paraId="677D4F5A"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248FA425" w14:textId="77777777" w:rsidR="000A21CD" w:rsidRPr="006E2A7D" w:rsidRDefault="000A21CD" w:rsidP="006D69F3">
            <w:pPr>
              <w:shd w:val="clear" w:color="auto" w:fill="FFFFFF" w:themeFill="background1"/>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3598E1E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0.2877     0.6694                  4 </w:t>
            </w:r>
          </w:p>
        </w:tc>
        <w:tc>
          <w:tcPr>
            <w:tcW w:w="542" w:type="dxa"/>
            <w:tcBorders>
              <w:left w:val="dashDotStroked" w:sz="24" w:space="0" w:color="000000" w:themeColor="text1"/>
              <w:right w:val="dashDotStroked" w:sz="24" w:space="0" w:color="000000" w:themeColor="text1"/>
            </w:tcBorders>
          </w:tcPr>
          <w:p w14:paraId="451F392E"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59E1608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36409AB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1.6280       1.0000                 2</w:t>
            </w:r>
          </w:p>
        </w:tc>
      </w:tr>
      <w:tr w:rsidR="000A21CD" w:rsidRPr="006E2A7D" w14:paraId="5F8997C5"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bottom w:val="dashDotStroked" w:sz="24" w:space="0" w:color="000000" w:themeColor="text1"/>
              <w:right w:val="dashDotStroked" w:sz="24" w:space="0" w:color="000000" w:themeColor="text1"/>
            </w:tcBorders>
          </w:tcPr>
          <w:p w14:paraId="4D5A11DA" w14:textId="77777777" w:rsidR="000A21CD" w:rsidRDefault="000A21CD" w:rsidP="006D69F3">
            <w:pPr>
              <w:shd w:val="clear" w:color="auto" w:fill="FFFFFF" w:themeFill="background1"/>
              <w:rPr>
                <w:b w:val="0"/>
                <w:bCs w:val="0"/>
                <w:sz w:val="18"/>
                <w:szCs w:val="18"/>
              </w:rPr>
            </w:pPr>
          </w:p>
          <w:p w14:paraId="136BB017" w14:textId="77777777" w:rsidR="000A21CD" w:rsidRPr="006E2A7D" w:rsidRDefault="000A21CD" w:rsidP="006D69F3">
            <w:pPr>
              <w:shd w:val="clear" w:color="auto" w:fill="FFFFFF" w:themeFill="background1"/>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254F184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542" w:type="dxa"/>
            <w:tcBorders>
              <w:left w:val="dashDotStroked" w:sz="24" w:space="0" w:color="000000" w:themeColor="text1"/>
              <w:bottom w:val="dashDotStroked" w:sz="24" w:space="0" w:color="000000" w:themeColor="text1"/>
              <w:right w:val="dashDotStroked" w:sz="24" w:space="0" w:color="000000" w:themeColor="text1"/>
            </w:tcBorders>
          </w:tcPr>
          <w:p w14:paraId="666439C8"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bottom w:val="dashDotStroked" w:sz="24" w:space="0" w:color="000000" w:themeColor="text1"/>
              <w:right w:val="dashDotStroked" w:sz="24" w:space="0" w:color="000000" w:themeColor="text1"/>
            </w:tcBorders>
          </w:tcPr>
          <w:p w14:paraId="2E099881"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412C677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r>
      <w:tr w:rsidR="000A21CD" w:rsidRPr="006E2A7D" w14:paraId="02E2E768"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3C90371C" w14:textId="77777777" w:rsidR="000A21CD" w:rsidRPr="006E2A7D" w:rsidRDefault="000A21CD" w:rsidP="006D69F3">
            <w:pPr>
              <w:shd w:val="clear" w:color="auto" w:fill="FFFFFF" w:themeFill="background1"/>
              <w:rPr>
                <w:sz w:val="18"/>
                <w:szCs w:val="18"/>
              </w:rPr>
            </w:pPr>
            <w:r w:rsidRPr="006E2A7D">
              <w:rPr>
                <w:sz w:val="18"/>
                <w:szCs w:val="18"/>
              </w:rPr>
              <w:t>SPTSX</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039EFF2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QLIKE      p-value           Rank</w:t>
            </w:r>
          </w:p>
        </w:tc>
        <w:tc>
          <w:tcPr>
            <w:tcW w:w="542"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05AEFD58"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2539D6B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SPTSX</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36EED15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HMSE       p-value           Rank</w:t>
            </w:r>
          </w:p>
        </w:tc>
      </w:tr>
      <w:tr w:rsidR="000A21CD" w:rsidRPr="006E2A7D" w14:paraId="7BC4908A"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right w:val="dashDotStroked" w:sz="24" w:space="0" w:color="000000" w:themeColor="text1"/>
            </w:tcBorders>
          </w:tcPr>
          <w:p w14:paraId="55D4359B" w14:textId="77777777" w:rsidR="000A21CD" w:rsidRPr="006E2A7D" w:rsidRDefault="000A21CD" w:rsidP="006D69F3">
            <w:pPr>
              <w:shd w:val="clear" w:color="auto" w:fill="FFFFFF" w:themeFill="background1"/>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4919575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0.2532     eliminated         5 </w:t>
            </w:r>
          </w:p>
        </w:tc>
        <w:tc>
          <w:tcPr>
            <w:tcW w:w="542" w:type="dxa"/>
            <w:tcBorders>
              <w:top w:val="dashDotStroked" w:sz="24" w:space="0" w:color="000000" w:themeColor="text1"/>
              <w:left w:val="dashDotStroked" w:sz="24" w:space="0" w:color="000000" w:themeColor="text1"/>
              <w:right w:val="dashDotStroked" w:sz="24" w:space="0" w:color="000000" w:themeColor="text1"/>
            </w:tcBorders>
          </w:tcPr>
          <w:p w14:paraId="6C37D7BA"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right w:val="dashDotStroked" w:sz="24" w:space="0" w:color="000000" w:themeColor="text1"/>
            </w:tcBorders>
          </w:tcPr>
          <w:p w14:paraId="355BECD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2299A7B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1.8270       eliminated          –</w:t>
            </w:r>
          </w:p>
        </w:tc>
      </w:tr>
      <w:tr w:rsidR="000A21CD" w:rsidRPr="006E2A7D" w14:paraId="5F84F8CA"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3EE9F5A5" w14:textId="77777777" w:rsidR="000A21CD" w:rsidRPr="006E2A7D" w:rsidRDefault="000A21CD" w:rsidP="006D69F3">
            <w:pPr>
              <w:shd w:val="clear" w:color="auto" w:fill="FFFFFF" w:themeFill="background1"/>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308189F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w:t>
            </w:r>
            <w:r w:rsidRPr="00B80330">
              <w:rPr>
                <w:sz w:val="18"/>
                <w:szCs w:val="18"/>
              </w:rPr>
              <w:t>0.2175</w:t>
            </w:r>
            <w:r w:rsidRPr="006E2A7D">
              <w:rPr>
                <w:sz w:val="18"/>
                <w:szCs w:val="18"/>
              </w:rPr>
              <w:t xml:space="preserve">     1.0000                1</w:t>
            </w:r>
          </w:p>
        </w:tc>
        <w:tc>
          <w:tcPr>
            <w:tcW w:w="542" w:type="dxa"/>
            <w:tcBorders>
              <w:left w:val="dashDotStroked" w:sz="24" w:space="0" w:color="000000" w:themeColor="text1"/>
              <w:right w:val="dashDotStroked" w:sz="24" w:space="0" w:color="000000" w:themeColor="text1"/>
            </w:tcBorders>
          </w:tcPr>
          <w:p w14:paraId="7497A0F3"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780675A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2ADC4662"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1.7780       eliminated          –</w:t>
            </w:r>
          </w:p>
        </w:tc>
      </w:tr>
      <w:tr w:rsidR="000A21CD" w:rsidRPr="006E2A7D" w14:paraId="4A058510"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0B493966" w14:textId="77777777" w:rsidR="000A21CD" w:rsidRPr="006E2A7D" w:rsidRDefault="000A21CD" w:rsidP="006D69F3">
            <w:pPr>
              <w:shd w:val="clear" w:color="auto" w:fill="FFFFFF" w:themeFill="background1"/>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132BB3A2"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0.2729     eliminated         7 </w:t>
            </w:r>
          </w:p>
        </w:tc>
        <w:tc>
          <w:tcPr>
            <w:tcW w:w="542" w:type="dxa"/>
            <w:tcBorders>
              <w:left w:val="dashDotStroked" w:sz="24" w:space="0" w:color="000000" w:themeColor="text1"/>
              <w:right w:val="dashDotStroked" w:sz="24" w:space="0" w:color="000000" w:themeColor="text1"/>
            </w:tcBorders>
          </w:tcPr>
          <w:p w14:paraId="0E96FC76"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515FED9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682AB8E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1.7360       eliminated          –</w:t>
            </w:r>
          </w:p>
        </w:tc>
      </w:tr>
      <w:tr w:rsidR="000A21CD" w:rsidRPr="006E2A7D" w14:paraId="1D70EFCB"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50CE814A" w14:textId="77777777" w:rsidR="000A21CD" w:rsidRPr="006E2A7D" w:rsidRDefault="000A21CD" w:rsidP="006D69F3">
            <w:pPr>
              <w:shd w:val="clear" w:color="auto" w:fill="FFFFFF" w:themeFill="background1"/>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1D42E2DB"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0.2405     eliminated         2 </w:t>
            </w:r>
          </w:p>
        </w:tc>
        <w:tc>
          <w:tcPr>
            <w:tcW w:w="542" w:type="dxa"/>
            <w:tcBorders>
              <w:left w:val="dashDotStroked" w:sz="24" w:space="0" w:color="000000" w:themeColor="text1"/>
              <w:right w:val="dashDotStroked" w:sz="24" w:space="0" w:color="000000" w:themeColor="text1"/>
            </w:tcBorders>
          </w:tcPr>
          <w:p w14:paraId="2A059F69"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34C14D4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76BF216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B80330">
              <w:rPr>
                <w:sz w:val="18"/>
                <w:szCs w:val="18"/>
              </w:rPr>
              <w:t>1.4420</w:t>
            </w:r>
            <w:r w:rsidRPr="006E2A7D">
              <w:rPr>
                <w:sz w:val="18"/>
                <w:szCs w:val="18"/>
              </w:rPr>
              <w:t xml:space="preserve">       1.0000                 1</w:t>
            </w:r>
          </w:p>
        </w:tc>
      </w:tr>
      <w:tr w:rsidR="000A21CD" w:rsidRPr="006E2A7D" w14:paraId="2224552C"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10ABF8F8" w14:textId="77777777" w:rsidR="000A21CD" w:rsidRPr="006E2A7D" w:rsidRDefault="000A21CD" w:rsidP="006D69F3">
            <w:pPr>
              <w:shd w:val="clear" w:color="auto" w:fill="FFFFFF" w:themeFill="background1"/>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307AFAB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0.2517     eliminated         4 </w:t>
            </w:r>
          </w:p>
        </w:tc>
        <w:tc>
          <w:tcPr>
            <w:tcW w:w="542" w:type="dxa"/>
            <w:tcBorders>
              <w:left w:val="dashDotStroked" w:sz="24" w:space="0" w:color="000000" w:themeColor="text1"/>
              <w:right w:val="dashDotStroked" w:sz="24" w:space="0" w:color="000000" w:themeColor="text1"/>
            </w:tcBorders>
          </w:tcPr>
          <w:p w14:paraId="78F20AC9"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7894B0F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7B55B597"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1.5550       eliminated          –</w:t>
            </w:r>
          </w:p>
        </w:tc>
      </w:tr>
      <w:tr w:rsidR="000A21CD" w:rsidRPr="006E2A7D" w14:paraId="0D4CF40E"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66E44170" w14:textId="77777777" w:rsidR="000A21CD" w:rsidRPr="006E2A7D" w:rsidRDefault="000A21CD" w:rsidP="006D69F3">
            <w:pPr>
              <w:shd w:val="clear" w:color="auto" w:fill="FFFFFF" w:themeFill="background1"/>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5DAF585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0.2586     eliminated         6 </w:t>
            </w:r>
          </w:p>
        </w:tc>
        <w:tc>
          <w:tcPr>
            <w:tcW w:w="542" w:type="dxa"/>
            <w:tcBorders>
              <w:left w:val="dashDotStroked" w:sz="24" w:space="0" w:color="000000" w:themeColor="text1"/>
              <w:right w:val="dashDotStroked" w:sz="24" w:space="0" w:color="000000" w:themeColor="text1"/>
            </w:tcBorders>
          </w:tcPr>
          <w:p w14:paraId="2ADC64E9"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641802A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082BA45B"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1.7160       eliminated          –</w:t>
            </w:r>
          </w:p>
        </w:tc>
      </w:tr>
      <w:tr w:rsidR="000A21CD" w:rsidRPr="006E2A7D" w14:paraId="79A3FD21"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5C3B6B04" w14:textId="77777777" w:rsidR="000A21CD" w:rsidRPr="006E2A7D" w:rsidRDefault="000A21CD" w:rsidP="006D69F3">
            <w:pPr>
              <w:shd w:val="clear" w:color="auto" w:fill="FFFFFF" w:themeFill="background1"/>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6E855F8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0.2480     eliminated         3 </w:t>
            </w:r>
          </w:p>
        </w:tc>
        <w:tc>
          <w:tcPr>
            <w:tcW w:w="542" w:type="dxa"/>
            <w:tcBorders>
              <w:left w:val="dashDotStroked" w:sz="24" w:space="0" w:color="000000" w:themeColor="text1"/>
              <w:right w:val="dashDotStroked" w:sz="24" w:space="0" w:color="000000" w:themeColor="text1"/>
            </w:tcBorders>
          </w:tcPr>
          <w:p w14:paraId="0DAFA208"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25E7BF7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46A9C2D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1.7200       eliminated          –</w:t>
            </w:r>
          </w:p>
        </w:tc>
      </w:tr>
      <w:tr w:rsidR="000A21CD" w:rsidRPr="006E2A7D" w14:paraId="4761806A"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bottom w:val="dashDotStroked" w:sz="24" w:space="0" w:color="000000" w:themeColor="text1"/>
              <w:right w:val="dashDotStroked" w:sz="24" w:space="0" w:color="000000" w:themeColor="text1"/>
            </w:tcBorders>
          </w:tcPr>
          <w:p w14:paraId="2332CB15" w14:textId="77777777" w:rsidR="000A21CD" w:rsidRPr="006E2A7D" w:rsidRDefault="000A21CD" w:rsidP="006D69F3">
            <w:pPr>
              <w:shd w:val="clear" w:color="auto" w:fill="FFFFFF" w:themeFill="background1"/>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6EA5B446"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542" w:type="dxa"/>
            <w:tcBorders>
              <w:left w:val="dashDotStroked" w:sz="24" w:space="0" w:color="000000" w:themeColor="text1"/>
              <w:bottom w:val="dashDotStroked" w:sz="24" w:space="0" w:color="000000" w:themeColor="text1"/>
              <w:right w:val="dashDotStroked" w:sz="24" w:space="0" w:color="000000" w:themeColor="text1"/>
            </w:tcBorders>
          </w:tcPr>
          <w:p w14:paraId="6601E4DA"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bottom w:val="dashDotStroked" w:sz="24" w:space="0" w:color="000000" w:themeColor="text1"/>
              <w:right w:val="dashDotStroked" w:sz="24" w:space="0" w:color="000000" w:themeColor="text1"/>
            </w:tcBorders>
          </w:tcPr>
          <w:p w14:paraId="71B5701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589AD81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r>
      <w:tr w:rsidR="000A21CD" w:rsidRPr="006E2A7D" w14:paraId="03B75190"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02883EF9" w14:textId="77777777" w:rsidR="000A21CD" w:rsidRPr="006E2A7D" w:rsidRDefault="000A21CD" w:rsidP="006D69F3">
            <w:pPr>
              <w:shd w:val="clear" w:color="auto" w:fill="FFFFFF" w:themeFill="background1"/>
              <w:rPr>
                <w:sz w:val="18"/>
                <w:szCs w:val="18"/>
              </w:rPr>
            </w:pPr>
            <w:r w:rsidRPr="006E2A7D">
              <w:rPr>
                <w:sz w:val="18"/>
                <w:szCs w:val="18"/>
              </w:rPr>
              <w:t>SPX</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3FE48F7A"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QLIKE      p-value            Rank</w:t>
            </w:r>
          </w:p>
        </w:tc>
        <w:tc>
          <w:tcPr>
            <w:tcW w:w="542"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3E611DEE"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2EC5FF71"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SPX</w:t>
            </w:r>
          </w:p>
        </w:tc>
        <w:tc>
          <w:tcPr>
            <w:tcW w:w="2835" w:type="dxa"/>
            <w:tcBorders>
              <w:top w:val="dashDotStroked" w:sz="24" w:space="0" w:color="000000" w:themeColor="text1"/>
              <w:left w:val="dashDotStroked" w:sz="24" w:space="0" w:color="000000" w:themeColor="text1"/>
              <w:bottom w:val="dashDotStroked" w:sz="24" w:space="0" w:color="000000" w:themeColor="text1"/>
              <w:right w:val="dashDotStroked" w:sz="24" w:space="0" w:color="000000" w:themeColor="text1"/>
            </w:tcBorders>
          </w:tcPr>
          <w:p w14:paraId="7CE54C91"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r w:rsidRPr="006E2A7D">
              <w:rPr>
                <w:b/>
                <w:sz w:val="18"/>
                <w:szCs w:val="18"/>
              </w:rPr>
              <w:t xml:space="preserve">  HMSE      p-value            Rank</w:t>
            </w:r>
          </w:p>
        </w:tc>
      </w:tr>
      <w:tr w:rsidR="000A21CD" w:rsidRPr="006E2A7D" w14:paraId="4B750954"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top w:val="dashDotStroked" w:sz="24" w:space="0" w:color="000000" w:themeColor="text1"/>
              <w:left w:val="dashDotStroked" w:sz="24" w:space="0" w:color="000000" w:themeColor="text1"/>
              <w:right w:val="dashDotStroked" w:sz="24" w:space="0" w:color="000000" w:themeColor="text1"/>
            </w:tcBorders>
          </w:tcPr>
          <w:p w14:paraId="2AC0B098" w14:textId="77777777" w:rsidR="000A21CD" w:rsidRPr="006E2A7D" w:rsidRDefault="000A21CD" w:rsidP="006D69F3">
            <w:pPr>
              <w:shd w:val="clear" w:color="auto" w:fill="FFFFFF" w:themeFill="background1"/>
              <w:rPr>
                <w:sz w:val="18"/>
                <w:szCs w:val="18"/>
              </w:rPr>
            </w:pPr>
            <w:r w:rsidRPr="006E2A7D">
              <w:rPr>
                <w:sz w:val="18"/>
                <w:szCs w:val="18"/>
              </w:rPr>
              <w:lastRenderedPageBreak/>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3D43824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0.3012     0.0070                  5 </w:t>
            </w:r>
          </w:p>
        </w:tc>
        <w:tc>
          <w:tcPr>
            <w:tcW w:w="542" w:type="dxa"/>
            <w:tcBorders>
              <w:top w:val="dashDotStroked" w:sz="24" w:space="0" w:color="000000" w:themeColor="text1"/>
              <w:left w:val="dashDotStroked" w:sz="24" w:space="0" w:color="000000" w:themeColor="text1"/>
              <w:right w:val="dashDotStroked" w:sz="24" w:space="0" w:color="000000" w:themeColor="text1"/>
            </w:tcBorders>
          </w:tcPr>
          <w:p w14:paraId="61EA7799"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top w:val="dashDotStroked" w:sz="24" w:space="0" w:color="000000" w:themeColor="text1"/>
              <w:left w:val="dashDotStroked" w:sz="24" w:space="0" w:color="000000" w:themeColor="text1"/>
              <w:right w:val="dashDotStroked" w:sz="24" w:space="0" w:color="000000" w:themeColor="text1"/>
            </w:tcBorders>
          </w:tcPr>
          <w:p w14:paraId="7AFB083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w:t>
            </w:r>
          </w:p>
        </w:tc>
        <w:tc>
          <w:tcPr>
            <w:tcW w:w="2835" w:type="dxa"/>
            <w:tcBorders>
              <w:top w:val="dashDotStroked" w:sz="24" w:space="0" w:color="000000" w:themeColor="text1"/>
              <w:left w:val="dashDotStroked" w:sz="24" w:space="0" w:color="000000" w:themeColor="text1"/>
              <w:right w:val="dashDotStroked" w:sz="24" w:space="0" w:color="000000" w:themeColor="text1"/>
            </w:tcBorders>
          </w:tcPr>
          <w:p w14:paraId="0B7610F4"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3.2730      eliminated           –</w:t>
            </w:r>
          </w:p>
        </w:tc>
      </w:tr>
      <w:tr w:rsidR="000A21CD" w:rsidRPr="006E2A7D" w14:paraId="4A844915"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63F3A731" w14:textId="77777777" w:rsidR="000A21CD" w:rsidRPr="006E2A7D" w:rsidRDefault="000A21CD" w:rsidP="006D69F3">
            <w:pPr>
              <w:shd w:val="clear" w:color="auto" w:fill="FFFFFF" w:themeFill="background1"/>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1561EE2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0.2942     1.0000                  3 </w:t>
            </w:r>
          </w:p>
        </w:tc>
        <w:tc>
          <w:tcPr>
            <w:tcW w:w="542" w:type="dxa"/>
            <w:tcBorders>
              <w:left w:val="dashDotStroked" w:sz="24" w:space="0" w:color="000000" w:themeColor="text1"/>
              <w:right w:val="dashDotStroked" w:sz="24" w:space="0" w:color="000000" w:themeColor="text1"/>
            </w:tcBorders>
          </w:tcPr>
          <w:p w14:paraId="68FAF2FC"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7E48A80D"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HAR-RV-ONV</w:t>
            </w:r>
          </w:p>
        </w:tc>
        <w:tc>
          <w:tcPr>
            <w:tcW w:w="2835" w:type="dxa"/>
            <w:tcBorders>
              <w:left w:val="dashDotStroked" w:sz="24" w:space="0" w:color="000000" w:themeColor="text1"/>
              <w:right w:val="dashDotStroked" w:sz="24" w:space="0" w:color="000000" w:themeColor="text1"/>
            </w:tcBorders>
          </w:tcPr>
          <w:p w14:paraId="4463FA4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3.4880      eliminated           –</w:t>
            </w:r>
          </w:p>
        </w:tc>
      </w:tr>
      <w:tr w:rsidR="000A21CD" w:rsidRPr="006E2A7D" w14:paraId="0EAF51DA"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4FF490AE" w14:textId="77777777" w:rsidR="000A21CD" w:rsidRPr="006E2A7D" w:rsidRDefault="000A21CD" w:rsidP="006D69F3">
            <w:pPr>
              <w:shd w:val="clear" w:color="auto" w:fill="FFFFFF" w:themeFill="background1"/>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745F4C2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0.4054     1.0000                  7 </w:t>
            </w:r>
          </w:p>
        </w:tc>
        <w:tc>
          <w:tcPr>
            <w:tcW w:w="542" w:type="dxa"/>
            <w:tcBorders>
              <w:left w:val="dashDotStroked" w:sz="24" w:space="0" w:color="000000" w:themeColor="text1"/>
              <w:right w:val="dashDotStroked" w:sz="24" w:space="0" w:color="000000" w:themeColor="text1"/>
            </w:tcBorders>
          </w:tcPr>
          <w:p w14:paraId="06FA9346"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55F0A2FE"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HAR-RV-CC</w:t>
            </w:r>
          </w:p>
        </w:tc>
        <w:tc>
          <w:tcPr>
            <w:tcW w:w="2835" w:type="dxa"/>
            <w:tcBorders>
              <w:left w:val="dashDotStroked" w:sz="24" w:space="0" w:color="000000" w:themeColor="text1"/>
              <w:right w:val="dashDotStroked" w:sz="24" w:space="0" w:color="000000" w:themeColor="text1"/>
            </w:tcBorders>
          </w:tcPr>
          <w:p w14:paraId="0BA9DDD1"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3.1940      eliminated           –</w:t>
            </w:r>
          </w:p>
        </w:tc>
      </w:tr>
      <w:tr w:rsidR="000A21CD" w:rsidRPr="006E2A7D" w14:paraId="7B2F37AF"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76E3D123" w14:textId="77777777" w:rsidR="000A21CD" w:rsidRPr="006E2A7D" w:rsidRDefault="000A21CD" w:rsidP="006D69F3">
            <w:pPr>
              <w:shd w:val="clear" w:color="auto" w:fill="FFFFFF" w:themeFill="background1"/>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1CDB2DB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0.3334     1.0000                  6</w:t>
            </w:r>
          </w:p>
        </w:tc>
        <w:tc>
          <w:tcPr>
            <w:tcW w:w="542" w:type="dxa"/>
            <w:tcBorders>
              <w:left w:val="dashDotStroked" w:sz="24" w:space="0" w:color="000000" w:themeColor="text1"/>
              <w:right w:val="dashDotStroked" w:sz="24" w:space="0" w:color="000000" w:themeColor="text1"/>
            </w:tcBorders>
          </w:tcPr>
          <w:p w14:paraId="1F75A504"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7F4854A1"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HAR-RV-PK</w:t>
            </w:r>
          </w:p>
        </w:tc>
        <w:tc>
          <w:tcPr>
            <w:tcW w:w="2835" w:type="dxa"/>
            <w:tcBorders>
              <w:left w:val="dashDotStroked" w:sz="24" w:space="0" w:color="000000" w:themeColor="text1"/>
              <w:right w:val="dashDotStroked" w:sz="24" w:space="0" w:color="000000" w:themeColor="text1"/>
            </w:tcBorders>
          </w:tcPr>
          <w:p w14:paraId="14E39DF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B80330">
              <w:rPr>
                <w:sz w:val="18"/>
                <w:szCs w:val="18"/>
              </w:rPr>
              <w:t>1.9250</w:t>
            </w:r>
            <w:r w:rsidRPr="006E2A7D">
              <w:rPr>
                <w:sz w:val="18"/>
                <w:szCs w:val="18"/>
              </w:rPr>
              <w:t xml:space="preserve">      1.0000                  1</w:t>
            </w:r>
          </w:p>
        </w:tc>
      </w:tr>
      <w:tr w:rsidR="000A21CD" w:rsidRPr="006E2A7D" w14:paraId="198423E0"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5D782E8E" w14:textId="77777777" w:rsidR="000A21CD" w:rsidRPr="006E2A7D" w:rsidRDefault="000A21CD" w:rsidP="006D69F3">
            <w:pPr>
              <w:shd w:val="clear" w:color="auto" w:fill="FFFFFF" w:themeFill="background1"/>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669EF2B2"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w:t>
            </w:r>
            <w:r w:rsidRPr="00B80330">
              <w:rPr>
                <w:sz w:val="18"/>
                <w:szCs w:val="18"/>
              </w:rPr>
              <w:t>0.2908</w:t>
            </w:r>
            <w:r w:rsidRPr="006E2A7D">
              <w:rPr>
                <w:sz w:val="18"/>
                <w:szCs w:val="18"/>
              </w:rPr>
              <w:t xml:space="preserve">     1.0000                  1 </w:t>
            </w:r>
          </w:p>
        </w:tc>
        <w:tc>
          <w:tcPr>
            <w:tcW w:w="542" w:type="dxa"/>
            <w:tcBorders>
              <w:left w:val="dashDotStroked" w:sz="24" w:space="0" w:color="000000" w:themeColor="text1"/>
              <w:right w:val="dashDotStroked" w:sz="24" w:space="0" w:color="000000" w:themeColor="text1"/>
            </w:tcBorders>
          </w:tcPr>
          <w:p w14:paraId="7AD19331"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5508BAA8"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HAR-RV-GK</w:t>
            </w:r>
          </w:p>
        </w:tc>
        <w:tc>
          <w:tcPr>
            <w:tcW w:w="2835" w:type="dxa"/>
            <w:tcBorders>
              <w:left w:val="dashDotStroked" w:sz="24" w:space="0" w:color="000000" w:themeColor="text1"/>
              <w:right w:val="dashDotStroked" w:sz="24" w:space="0" w:color="000000" w:themeColor="text1"/>
            </w:tcBorders>
          </w:tcPr>
          <w:p w14:paraId="4AEDA29C"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2.5470      eliminated           –</w:t>
            </w:r>
          </w:p>
        </w:tc>
      </w:tr>
      <w:tr w:rsidR="000A21CD" w:rsidRPr="006E2A7D" w14:paraId="1CA8F91D"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7D60FCBF" w14:textId="77777777" w:rsidR="000A21CD" w:rsidRPr="006E2A7D" w:rsidRDefault="000A21CD" w:rsidP="006D69F3">
            <w:pPr>
              <w:shd w:val="clear" w:color="auto" w:fill="FFFFFF" w:themeFill="background1"/>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0CCD2A52"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0.2993     0.0016                  4 </w:t>
            </w:r>
          </w:p>
        </w:tc>
        <w:tc>
          <w:tcPr>
            <w:tcW w:w="542" w:type="dxa"/>
            <w:tcBorders>
              <w:left w:val="dashDotStroked" w:sz="24" w:space="0" w:color="000000" w:themeColor="text1"/>
              <w:right w:val="dashDotStroked" w:sz="24" w:space="0" w:color="000000" w:themeColor="text1"/>
            </w:tcBorders>
          </w:tcPr>
          <w:p w14:paraId="35DD33E0"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021BF909"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HAR-RV-RS</w:t>
            </w:r>
          </w:p>
        </w:tc>
        <w:tc>
          <w:tcPr>
            <w:tcW w:w="2835" w:type="dxa"/>
            <w:tcBorders>
              <w:left w:val="dashDotStroked" w:sz="24" w:space="0" w:color="000000" w:themeColor="text1"/>
              <w:right w:val="dashDotStroked" w:sz="24" w:space="0" w:color="000000" w:themeColor="text1"/>
            </w:tcBorders>
          </w:tcPr>
          <w:p w14:paraId="062D8DE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3.0710      eliminated           –</w:t>
            </w:r>
          </w:p>
        </w:tc>
      </w:tr>
      <w:tr w:rsidR="000A21CD" w:rsidRPr="006E2A7D" w14:paraId="6943FB99"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right w:val="dashDotStroked" w:sz="24" w:space="0" w:color="000000" w:themeColor="text1"/>
            </w:tcBorders>
          </w:tcPr>
          <w:p w14:paraId="1969881F" w14:textId="77777777" w:rsidR="000A21CD" w:rsidRPr="006E2A7D" w:rsidRDefault="000A21CD" w:rsidP="006D69F3">
            <w:pPr>
              <w:shd w:val="clear" w:color="auto" w:fill="FFFFFF" w:themeFill="background1"/>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0097D981"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 xml:space="preserve"> 0.2934     1.0000                  2 </w:t>
            </w:r>
          </w:p>
        </w:tc>
        <w:tc>
          <w:tcPr>
            <w:tcW w:w="542" w:type="dxa"/>
            <w:tcBorders>
              <w:left w:val="dashDotStroked" w:sz="24" w:space="0" w:color="000000" w:themeColor="text1"/>
              <w:right w:val="dashDotStroked" w:sz="24" w:space="0" w:color="000000" w:themeColor="text1"/>
            </w:tcBorders>
          </w:tcPr>
          <w:p w14:paraId="5C7FE997"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right w:val="dashDotStroked" w:sz="24" w:space="0" w:color="000000" w:themeColor="text1"/>
            </w:tcBorders>
          </w:tcPr>
          <w:p w14:paraId="32311F23"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HAR-RV-YZ</w:t>
            </w:r>
          </w:p>
        </w:tc>
        <w:tc>
          <w:tcPr>
            <w:tcW w:w="2835" w:type="dxa"/>
            <w:tcBorders>
              <w:left w:val="dashDotStroked" w:sz="24" w:space="0" w:color="000000" w:themeColor="text1"/>
              <w:right w:val="dashDotStroked" w:sz="24" w:space="0" w:color="000000" w:themeColor="text1"/>
            </w:tcBorders>
          </w:tcPr>
          <w:p w14:paraId="21843DCF"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r w:rsidRPr="006E2A7D">
              <w:rPr>
                <w:sz w:val="18"/>
                <w:szCs w:val="18"/>
              </w:rPr>
              <w:t>2.9860      eliminated           –</w:t>
            </w:r>
          </w:p>
        </w:tc>
      </w:tr>
      <w:tr w:rsidR="000A21CD" w:rsidRPr="006E2A7D" w14:paraId="130F6788" w14:textId="77777777" w:rsidTr="006D69F3">
        <w:tc>
          <w:tcPr>
            <w:cnfStyle w:val="001000000000" w:firstRow="0" w:lastRow="0" w:firstColumn="1" w:lastColumn="0" w:oddVBand="0" w:evenVBand="0" w:oddHBand="0" w:evenHBand="0" w:firstRowFirstColumn="0" w:firstRowLastColumn="0" w:lastRowFirstColumn="0" w:lastRowLastColumn="0"/>
            <w:tcW w:w="1413" w:type="dxa"/>
            <w:tcBorders>
              <w:left w:val="dashDotStroked" w:sz="24" w:space="0" w:color="000000" w:themeColor="text1"/>
              <w:bottom w:val="dashDotStroked" w:sz="24" w:space="0" w:color="000000" w:themeColor="text1"/>
              <w:right w:val="dashDotStroked" w:sz="24" w:space="0" w:color="000000" w:themeColor="text1"/>
            </w:tcBorders>
          </w:tcPr>
          <w:p w14:paraId="70180EC5" w14:textId="77777777" w:rsidR="000A21CD" w:rsidRPr="006E2A7D" w:rsidRDefault="000A21CD" w:rsidP="006D69F3">
            <w:pPr>
              <w:shd w:val="clear" w:color="auto" w:fill="FFFFFF" w:themeFill="background1"/>
              <w:rPr>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65FB94E0"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c>
          <w:tcPr>
            <w:tcW w:w="542" w:type="dxa"/>
            <w:tcBorders>
              <w:left w:val="dashDotStroked" w:sz="24" w:space="0" w:color="000000" w:themeColor="text1"/>
              <w:bottom w:val="dashDotStroked" w:sz="24" w:space="0" w:color="000000" w:themeColor="text1"/>
              <w:right w:val="dashDotStroked" w:sz="24" w:space="0" w:color="000000" w:themeColor="text1"/>
            </w:tcBorders>
          </w:tcPr>
          <w:p w14:paraId="7F8B3235" w14:textId="77777777" w:rsidR="000A21CD" w:rsidRPr="006E2A7D" w:rsidRDefault="000A21CD" w:rsidP="006D69F3">
            <w:pPr>
              <w:cnfStyle w:val="000000000000" w:firstRow="0" w:lastRow="0" w:firstColumn="0" w:lastColumn="0" w:oddVBand="0" w:evenVBand="0" w:oddHBand="0" w:evenHBand="0" w:firstRowFirstColumn="0" w:firstRowLastColumn="0" w:lastRowFirstColumn="0" w:lastRowLastColumn="0"/>
              <w:rPr>
                <w:sz w:val="18"/>
                <w:szCs w:val="18"/>
              </w:rPr>
            </w:pPr>
          </w:p>
        </w:tc>
        <w:tc>
          <w:tcPr>
            <w:tcW w:w="1584" w:type="dxa"/>
            <w:tcBorders>
              <w:left w:val="dashDotStroked" w:sz="24" w:space="0" w:color="000000" w:themeColor="text1"/>
              <w:bottom w:val="dashDotStroked" w:sz="24" w:space="0" w:color="000000" w:themeColor="text1"/>
              <w:right w:val="dashDotStroked" w:sz="24" w:space="0" w:color="000000" w:themeColor="text1"/>
            </w:tcBorders>
          </w:tcPr>
          <w:p w14:paraId="1A121D7B"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sz w:val="18"/>
                <w:szCs w:val="18"/>
              </w:rPr>
            </w:pPr>
          </w:p>
        </w:tc>
        <w:tc>
          <w:tcPr>
            <w:tcW w:w="2835" w:type="dxa"/>
            <w:tcBorders>
              <w:left w:val="dashDotStroked" w:sz="24" w:space="0" w:color="000000" w:themeColor="text1"/>
              <w:bottom w:val="dashDotStroked" w:sz="24" w:space="0" w:color="000000" w:themeColor="text1"/>
              <w:right w:val="dashDotStroked" w:sz="24" w:space="0" w:color="000000" w:themeColor="text1"/>
            </w:tcBorders>
          </w:tcPr>
          <w:p w14:paraId="4401C5D5" w14:textId="77777777" w:rsidR="000A21CD" w:rsidRPr="006E2A7D" w:rsidRDefault="000A21CD" w:rsidP="006D69F3">
            <w:pPr>
              <w:shd w:val="clear" w:color="auto" w:fill="FFFFFF" w:themeFill="background1"/>
              <w:cnfStyle w:val="000000000000" w:firstRow="0" w:lastRow="0" w:firstColumn="0" w:lastColumn="0" w:oddVBand="0" w:evenVBand="0" w:oddHBand="0" w:evenHBand="0" w:firstRowFirstColumn="0" w:firstRowLastColumn="0" w:lastRowFirstColumn="0" w:lastRowLastColumn="0"/>
              <w:rPr>
                <w:sz w:val="18"/>
                <w:szCs w:val="18"/>
              </w:rPr>
            </w:pPr>
          </w:p>
        </w:tc>
      </w:tr>
    </w:tbl>
    <w:p w14:paraId="51037624" w14:textId="77777777" w:rsidR="000A21CD" w:rsidRPr="006E2A7D" w:rsidRDefault="000A21CD" w:rsidP="000A21CD">
      <w:pPr>
        <w:jc w:val="both"/>
        <w:rPr>
          <w:i/>
          <w:sz w:val="18"/>
          <w:szCs w:val="18"/>
        </w:rPr>
      </w:pPr>
      <w:r w:rsidRPr="006E2A7D">
        <w:rPr>
          <w:b/>
          <w:i/>
          <w:sz w:val="18"/>
          <w:szCs w:val="18"/>
        </w:rPr>
        <w:t>Note:</w:t>
      </w:r>
      <w:r w:rsidRPr="006E2A7D">
        <w:rPr>
          <w:i/>
          <w:sz w:val="18"/>
          <w:szCs w:val="18"/>
        </w:rPr>
        <w:t xml:space="preserve"> To save more space, loss functions and MCS procedure results are merged in this table.  QLIKE and HMSE values are obtained by one-step-ahead rolling window forecasting method. Window size is 600 observations that is used as in-sample estimation. The out-of-sample consists of 2180 observations. P-value and rank results are received from the MCS procedure.</w:t>
      </w:r>
    </w:p>
    <w:p w14:paraId="05D3D801" w14:textId="77777777" w:rsidR="00D74B57" w:rsidRDefault="00D74B57" w:rsidP="00D71253">
      <w:pPr>
        <w:rPr>
          <w:b/>
        </w:rPr>
      </w:pPr>
    </w:p>
    <w:sectPr w:rsidR="00D74B57" w:rsidSect="006C40AC">
      <w:footerReference w:type="default" r:id="rId9"/>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D393C" w14:textId="77777777" w:rsidR="00BB2D71" w:rsidRDefault="00BB2D71" w:rsidP="002B6547">
      <w:r>
        <w:separator/>
      </w:r>
    </w:p>
  </w:endnote>
  <w:endnote w:type="continuationSeparator" w:id="0">
    <w:p w14:paraId="7612E90E" w14:textId="77777777" w:rsidR="00BB2D71" w:rsidRDefault="00BB2D71" w:rsidP="002B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AdvOTee460ee4+20">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4598141"/>
      <w:docPartObj>
        <w:docPartGallery w:val="Page Numbers (Bottom of Page)"/>
        <w:docPartUnique/>
      </w:docPartObj>
    </w:sdtPr>
    <w:sdtEndPr>
      <w:rPr>
        <w:noProof/>
      </w:rPr>
    </w:sdtEndPr>
    <w:sdtContent>
      <w:p w14:paraId="27304799" w14:textId="2622463B" w:rsidR="006C40AC" w:rsidRDefault="006C40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52089C" w14:textId="77777777" w:rsidR="006C40AC" w:rsidRDefault="006C4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C7199" w14:textId="77777777" w:rsidR="00BB2D71" w:rsidRDefault="00BB2D71" w:rsidP="002B6547">
      <w:r>
        <w:separator/>
      </w:r>
    </w:p>
  </w:footnote>
  <w:footnote w:type="continuationSeparator" w:id="0">
    <w:p w14:paraId="7AEEB740" w14:textId="77777777" w:rsidR="00BB2D71" w:rsidRDefault="00BB2D71" w:rsidP="002B6547">
      <w:r>
        <w:continuationSeparator/>
      </w:r>
    </w:p>
  </w:footnote>
  <w:footnote w:id="1">
    <w:p w14:paraId="4DBCB9F8" w14:textId="77777777" w:rsidR="009C4225" w:rsidRDefault="009C4225">
      <w:pPr>
        <w:pStyle w:val="FootnoteText"/>
      </w:pPr>
      <w:r>
        <w:rPr>
          <w:rStyle w:val="FootnoteReference"/>
        </w:rPr>
        <w:footnoteRef/>
      </w:r>
      <w:r>
        <w:t xml:space="preserve"> </w:t>
      </w:r>
      <w:r w:rsidRPr="009C4225">
        <w:t xml:space="preserve">Andersen et al. (2001) indicate that Realized </w:t>
      </w:r>
      <w:r>
        <w:t>V</w:t>
      </w:r>
      <w:r w:rsidRPr="009C4225">
        <w:t>ariance</w:t>
      </w:r>
      <w:r>
        <w:t xml:space="preserve"> (RV)</w:t>
      </w:r>
      <w:r w:rsidRPr="009C4225">
        <w:t xml:space="preserve"> is a natural estimator for the integrated variance.  </w:t>
      </w:r>
    </w:p>
  </w:footnote>
  <w:footnote w:id="2">
    <w:p w14:paraId="5DA0693F" w14:textId="44DC003E" w:rsidR="00BF39B7" w:rsidRPr="00311157" w:rsidRDefault="00BF39B7" w:rsidP="00BF39B7">
      <w:pPr>
        <w:pStyle w:val="FootnoteText"/>
      </w:pPr>
      <w:r w:rsidRPr="00311157">
        <w:rPr>
          <w:rStyle w:val="FootnoteReference"/>
        </w:rPr>
        <w:footnoteRef/>
      </w:r>
      <w:r w:rsidRPr="00311157">
        <w:t xml:space="preserve"> Another approach is the CARR (conditional autoregressive range) model of Chou (2005), see </w:t>
      </w:r>
      <w:proofErr w:type="spellStart"/>
      <w:r w:rsidRPr="00311157">
        <w:t>Xie</w:t>
      </w:r>
      <w:proofErr w:type="spellEnd"/>
      <w:r w:rsidRPr="00311157">
        <w:t xml:space="preserve"> (2018) for a recent application. </w:t>
      </w:r>
    </w:p>
  </w:footnote>
  <w:footnote w:id="3">
    <w:p w14:paraId="37E9F9BB" w14:textId="02959055" w:rsidR="00BF39B7" w:rsidRDefault="00BF39B7" w:rsidP="00BF39B7">
      <w:pPr>
        <w:pStyle w:val="FootnoteText"/>
        <w:jc w:val="both"/>
      </w:pPr>
      <w:r w:rsidRPr="00311157">
        <w:rPr>
          <w:rStyle w:val="FootnoteReference"/>
        </w:rPr>
        <w:footnoteRef/>
      </w:r>
      <w:r w:rsidRPr="00311157">
        <w:t xml:space="preserve"> A further approach, suggested by Christensen and </w:t>
      </w:r>
      <w:proofErr w:type="spellStart"/>
      <w:r w:rsidRPr="00311157">
        <w:t>Podolskij</w:t>
      </w:r>
      <w:proofErr w:type="spellEnd"/>
      <w:r w:rsidRPr="00311157">
        <w:t xml:space="preserve"> (2007) and Martens and van Dijk (2007) also combines the RV and range approaches and does so by calculating the range within intraday intervals before summing to the daily frequency. This requires the availability of intraday interval high and low data as opposed to daily high and low as used here. This would be an interesting avenue to pursue, however, we currently lack availability of the required data.</w:t>
      </w:r>
      <w:r>
        <w:t xml:space="preserve"> </w:t>
      </w:r>
    </w:p>
  </w:footnote>
  <w:footnote w:id="4">
    <w:p w14:paraId="4DC6980A" w14:textId="77777777" w:rsidR="002E5636" w:rsidRDefault="002E5636">
      <w:pPr>
        <w:pStyle w:val="FootnoteText"/>
      </w:pPr>
      <w:r>
        <w:rPr>
          <w:rStyle w:val="FootnoteReference"/>
        </w:rPr>
        <w:footnoteRef/>
      </w:r>
      <w:r>
        <w:t xml:space="preserve"> Drift process means the difference between open and close prices during a trading day.</w:t>
      </w:r>
    </w:p>
  </w:footnote>
  <w:footnote w:id="5">
    <w:p w14:paraId="2677AF9C" w14:textId="2E8BE40A" w:rsidR="00A57D75" w:rsidRDefault="00A57D75" w:rsidP="00A57D75">
      <w:pPr>
        <w:pStyle w:val="FootnoteText"/>
        <w:jc w:val="both"/>
      </w:pPr>
      <w:r w:rsidRPr="00311157">
        <w:rPr>
          <w:rStyle w:val="FootnoteReference"/>
        </w:rPr>
        <w:footnoteRef/>
      </w:r>
      <w:r w:rsidRPr="00311157">
        <w:t xml:space="preserve"> The robustness of the QLIKE and MSE is documented </w:t>
      </w:r>
      <w:r w:rsidR="0034066F" w:rsidRPr="00311157">
        <w:t>in</w:t>
      </w:r>
      <w:r w:rsidRPr="00311157">
        <w:t xml:space="preserve"> the seminal paper of Patton (2011). Whilst assessing different forecasts for the mean, the MSE criterion could be seen as a natural choice. However,</w:t>
      </w:r>
      <w:r w:rsidR="00F87500" w:rsidRPr="00311157">
        <w:t xml:space="preserve"> a</w:t>
      </w:r>
      <w:r w:rsidRPr="00311157">
        <w:t xml:space="preserve">ccording to </w:t>
      </w:r>
      <w:proofErr w:type="spellStart"/>
      <w:r w:rsidRPr="00311157">
        <w:t>Bollerslev</w:t>
      </w:r>
      <w:proofErr w:type="spellEnd"/>
      <w:r w:rsidRPr="00311157">
        <w:t xml:space="preserve"> et al. (1994) and </w:t>
      </w:r>
      <w:proofErr w:type="spellStart"/>
      <w:r w:rsidRPr="00311157">
        <w:t>Bollerslev</w:t>
      </w:r>
      <w:proofErr w:type="spellEnd"/>
      <w:r w:rsidRPr="00311157">
        <w:t xml:space="preserve"> and Ghysels (1996), the MSE loss function may be less clear in a heteroskedastic environment. For this reason, </w:t>
      </w:r>
      <w:proofErr w:type="spellStart"/>
      <w:r w:rsidRPr="00311157">
        <w:t>Bollerslev</w:t>
      </w:r>
      <w:proofErr w:type="spellEnd"/>
      <w:r w:rsidRPr="00311157">
        <w:t xml:space="preserve"> and Ghysels (1996) suggest the heteroskedasticity-adjusted MSE (HMSE). Given the heteroskedastic feature of financial volatility, the HMSE is the loss function of our choice over the MSE.</w:t>
      </w:r>
      <w:r>
        <w:t xml:space="preserve"> </w:t>
      </w:r>
    </w:p>
  </w:footnote>
  <w:footnote w:id="6">
    <w:p w14:paraId="56C38F73" w14:textId="6B88EE27" w:rsidR="00B20311" w:rsidRDefault="00B20311" w:rsidP="00B20311">
      <w:pPr>
        <w:pStyle w:val="FootnoteText"/>
      </w:pPr>
      <w:r>
        <w:rPr>
          <w:rStyle w:val="FootnoteReference"/>
        </w:rPr>
        <w:footnoteRef/>
      </w:r>
      <w:r>
        <w:t xml:space="preserve"> </w:t>
      </w:r>
      <w:r w:rsidR="0081357D">
        <w:t>We also conduct</w:t>
      </w:r>
      <w:r>
        <w:t xml:space="preserve"> recursive window </w:t>
      </w:r>
      <w:r w:rsidR="0081357D">
        <w:t>forecasts to provide robustness, the results of which are available upon request.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A579D"/>
    <w:multiLevelType w:val="multilevel"/>
    <w:tmpl w:val="D3D8B47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6F507A"/>
    <w:multiLevelType w:val="multilevel"/>
    <w:tmpl w:val="548845CA"/>
    <w:lvl w:ilvl="0">
      <w:start w:val="2"/>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DA6623D"/>
    <w:multiLevelType w:val="multilevel"/>
    <w:tmpl w:val="0A78F8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06787384">
    <w:abstractNumId w:val="2"/>
  </w:num>
  <w:num w:numId="2" w16cid:durableId="874660621">
    <w:abstractNumId w:val="0"/>
  </w:num>
  <w:num w:numId="3" w16cid:durableId="1848254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137"/>
    <w:rsid w:val="0002261E"/>
    <w:rsid w:val="000231BB"/>
    <w:rsid w:val="00053DC1"/>
    <w:rsid w:val="0008028D"/>
    <w:rsid w:val="00083153"/>
    <w:rsid w:val="00095CB2"/>
    <w:rsid w:val="000A21CD"/>
    <w:rsid w:val="000A7F4F"/>
    <w:rsid w:val="000C48AB"/>
    <w:rsid w:val="000D6B3D"/>
    <w:rsid w:val="000E4B7F"/>
    <w:rsid w:val="000E79C7"/>
    <w:rsid w:val="00171118"/>
    <w:rsid w:val="00171137"/>
    <w:rsid w:val="00171DD5"/>
    <w:rsid w:val="001A5970"/>
    <w:rsid w:val="001B3B2E"/>
    <w:rsid w:val="001E2A2A"/>
    <w:rsid w:val="001F161D"/>
    <w:rsid w:val="0020155E"/>
    <w:rsid w:val="00220D0E"/>
    <w:rsid w:val="002521DA"/>
    <w:rsid w:val="0026075E"/>
    <w:rsid w:val="0026344B"/>
    <w:rsid w:val="0027305A"/>
    <w:rsid w:val="00280C81"/>
    <w:rsid w:val="00293ECD"/>
    <w:rsid w:val="002A0D85"/>
    <w:rsid w:val="002A4907"/>
    <w:rsid w:val="002B6547"/>
    <w:rsid w:val="002D2CD7"/>
    <w:rsid w:val="002D3B6B"/>
    <w:rsid w:val="002D6728"/>
    <w:rsid w:val="002E0CFD"/>
    <w:rsid w:val="002E5636"/>
    <w:rsid w:val="00302153"/>
    <w:rsid w:val="00306C35"/>
    <w:rsid w:val="00311157"/>
    <w:rsid w:val="0034066F"/>
    <w:rsid w:val="00346FA4"/>
    <w:rsid w:val="003728D2"/>
    <w:rsid w:val="00393668"/>
    <w:rsid w:val="003963D0"/>
    <w:rsid w:val="003B492B"/>
    <w:rsid w:val="003D5869"/>
    <w:rsid w:val="003F5B52"/>
    <w:rsid w:val="00401F76"/>
    <w:rsid w:val="004069A5"/>
    <w:rsid w:val="004123E1"/>
    <w:rsid w:val="00447645"/>
    <w:rsid w:val="00455889"/>
    <w:rsid w:val="004658B1"/>
    <w:rsid w:val="00483F76"/>
    <w:rsid w:val="00490175"/>
    <w:rsid w:val="004D502F"/>
    <w:rsid w:val="004E1482"/>
    <w:rsid w:val="004E2321"/>
    <w:rsid w:val="00514AFA"/>
    <w:rsid w:val="00515B83"/>
    <w:rsid w:val="00533674"/>
    <w:rsid w:val="00545899"/>
    <w:rsid w:val="005553ED"/>
    <w:rsid w:val="00560DE8"/>
    <w:rsid w:val="005743BF"/>
    <w:rsid w:val="0059299A"/>
    <w:rsid w:val="005B08A4"/>
    <w:rsid w:val="005C4BC7"/>
    <w:rsid w:val="005D403A"/>
    <w:rsid w:val="005E5617"/>
    <w:rsid w:val="00612493"/>
    <w:rsid w:val="00640890"/>
    <w:rsid w:val="00640F65"/>
    <w:rsid w:val="00646247"/>
    <w:rsid w:val="00653A50"/>
    <w:rsid w:val="00655D4D"/>
    <w:rsid w:val="006649DC"/>
    <w:rsid w:val="00664F8C"/>
    <w:rsid w:val="00693E9C"/>
    <w:rsid w:val="006A1C12"/>
    <w:rsid w:val="006A377E"/>
    <w:rsid w:val="006C163E"/>
    <w:rsid w:val="006C40AC"/>
    <w:rsid w:val="006C4CE4"/>
    <w:rsid w:val="006D080C"/>
    <w:rsid w:val="006D608F"/>
    <w:rsid w:val="006E2A7D"/>
    <w:rsid w:val="006F2A3E"/>
    <w:rsid w:val="00717C1C"/>
    <w:rsid w:val="00730BDD"/>
    <w:rsid w:val="00731057"/>
    <w:rsid w:val="007343A1"/>
    <w:rsid w:val="00736953"/>
    <w:rsid w:val="00746696"/>
    <w:rsid w:val="00751A99"/>
    <w:rsid w:val="00767529"/>
    <w:rsid w:val="00787804"/>
    <w:rsid w:val="007909BC"/>
    <w:rsid w:val="007C1821"/>
    <w:rsid w:val="007C7195"/>
    <w:rsid w:val="007D1922"/>
    <w:rsid w:val="007F5E2D"/>
    <w:rsid w:val="00801B8C"/>
    <w:rsid w:val="0080354E"/>
    <w:rsid w:val="0081357D"/>
    <w:rsid w:val="0081785E"/>
    <w:rsid w:val="0083161E"/>
    <w:rsid w:val="008500F2"/>
    <w:rsid w:val="00851D34"/>
    <w:rsid w:val="00862EEC"/>
    <w:rsid w:val="00874FC6"/>
    <w:rsid w:val="008829C9"/>
    <w:rsid w:val="008B494C"/>
    <w:rsid w:val="008B5017"/>
    <w:rsid w:val="008C2A9A"/>
    <w:rsid w:val="008D2CF6"/>
    <w:rsid w:val="008F3498"/>
    <w:rsid w:val="008F498B"/>
    <w:rsid w:val="008F517F"/>
    <w:rsid w:val="0090683E"/>
    <w:rsid w:val="00910086"/>
    <w:rsid w:val="00913B60"/>
    <w:rsid w:val="00934F97"/>
    <w:rsid w:val="00950632"/>
    <w:rsid w:val="00975867"/>
    <w:rsid w:val="009849EA"/>
    <w:rsid w:val="009A624B"/>
    <w:rsid w:val="009B3293"/>
    <w:rsid w:val="009C4225"/>
    <w:rsid w:val="00A10CF8"/>
    <w:rsid w:val="00A41FFB"/>
    <w:rsid w:val="00A464E0"/>
    <w:rsid w:val="00A57D75"/>
    <w:rsid w:val="00A64C83"/>
    <w:rsid w:val="00A87C8F"/>
    <w:rsid w:val="00AB113F"/>
    <w:rsid w:val="00AC2BE7"/>
    <w:rsid w:val="00AF2D17"/>
    <w:rsid w:val="00B20311"/>
    <w:rsid w:val="00B24069"/>
    <w:rsid w:val="00B53A79"/>
    <w:rsid w:val="00B76CA3"/>
    <w:rsid w:val="00B80330"/>
    <w:rsid w:val="00BA7530"/>
    <w:rsid w:val="00BB2D71"/>
    <w:rsid w:val="00BC3590"/>
    <w:rsid w:val="00BC79DC"/>
    <w:rsid w:val="00BF2D74"/>
    <w:rsid w:val="00BF39B7"/>
    <w:rsid w:val="00BF4C2B"/>
    <w:rsid w:val="00C04A27"/>
    <w:rsid w:val="00C17E33"/>
    <w:rsid w:val="00C20233"/>
    <w:rsid w:val="00C216B5"/>
    <w:rsid w:val="00C32812"/>
    <w:rsid w:val="00C65030"/>
    <w:rsid w:val="00C80C0A"/>
    <w:rsid w:val="00C878EE"/>
    <w:rsid w:val="00C966CA"/>
    <w:rsid w:val="00CA08F1"/>
    <w:rsid w:val="00CD3678"/>
    <w:rsid w:val="00D11849"/>
    <w:rsid w:val="00D20C6A"/>
    <w:rsid w:val="00D35CBF"/>
    <w:rsid w:val="00D415F7"/>
    <w:rsid w:val="00D479EB"/>
    <w:rsid w:val="00D55A57"/>
    <w:rsid w:val="00D703FD"/>
    <w:rsid w:val="00D71253"/>
    <w:rsid w:val="00D74B57"/>
    <w:rsid w:val="00D777D9"/>
    <w:rsid w:val="00D81A7E"/>
    <w:rsid w:val="00DA270C"/>
    <w:rsid w:val="00DB6132"/>
    <w:rsid w:val="00DC358A"/>
    <w:rsid w:val="00DD5C16"/>
    <w:rsid w:val="00DD793D"/>
    <w:rsid w:val="00DE207E"/>
    <w:rsid w:val="00DE2BCE"/>
    <w:rsid w:val="00E31E8C"/>
    <w:rsid w:val="00E337A8"/>
    <w:rsid w:val="00E843A0"/>
    <w:rsid w:val="00E900EF"/>
    <w:rsid w:val="00EA4BCB"/>
    <w:rsid w:val="00EA50D5"/>
    <w:rsid w:val="00EB3F40"/>
    <w:rsid w:val="00EB6137"/>
    <w:rsid w:val="00EC642A"/>
    <w:rsid w:val="00ED0951"/>
    <w:rsid w:val="00ED424F"/>
    <w:rsid w:val="00EE0378"/>
    <w:rsid w:val="00EF5A1A"/>
    <w:rsid w:val="00F20CED"/>
    <w:rsid w:val="00F32D09"/>
    <w:rsid w:val="00F65C5F"/>
    <w:rsid w:val="00F85F74"/>
    <w:rsid w:val="00F87500"/>
    <w:rsid w:val="00FD3005"/>
    <w:rsid w:val="00FF6709"/>
  </w:rsids>
  <m:mathPr>
    <m:mathFont m:val="Cambria Math"/>
    <m:brkBin m:val="before"/>
    <m:brkBinSub m:val="--"/>
    <m:smallFrac m:val="0"/>
    <m:dispDef/>
    <m:lMargin m:val="0"/>
    <m:rMargin m:val="0"/>
    <m:defJc m:val="centerGroup"/>
    <m:wrapIndent m:val="1440"/>
    <m:intLim m:val="subSup"/>
    <m:naryLim m:val="undOvr"/>
  </m:mathPr>
  <w:themeFontLang w:val="en-GB"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4257E"/>
  <w15:chartTrackingRefBased/>
  <w15:docId w15:val="{1D6CF83A-FC91-F545-814D-663E00D3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1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3">
    <w:name w:val="Plain Table 3"/>
    <w:basedOn w:val="TableNormal"/>
    <w:uiPriority w:val="43"/>
    <w:rsid w:val="0017113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next w:val="GridTable2-Accent5"/>
    <w:uiPriority w:val="47"/>
    <w:rsid w:val="004E2321"/>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5">
    <w:name w:val="Grid Table 2 Accent 5"/>
    <w:basedOn w:val="TableNormal"/>
    <w:uiPriority w:val="47"/>
    <w:rsid w:val="004E2321"/>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
    <w:name w:val="Table Grid"/>
    <w:basedOn w:val="TableNormal"/>
    <w:uiPriority w:val="39"/>
    <w:rsid w:val="008B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B494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B49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494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8B494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B494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8B494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494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8B4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7Colorful-Accent5">
    <w:name w:val="Grid Table 7 Colorful Accent 5"/>
    <w:basedOn w:val="TableNormal"/>
    <w:uiPriority w:val="52"/>
    <w:rsid w:val="008B494C"/>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ListTable7Colorful">
    <w:name w:val="List Table 7 Colorful"/>
    <w:basedOn w:val="TableNormal"/>
    <w:uiPriority w:val="52"/>
    <w:rsid w:val="008B494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
    <w:name w:val="List Table 6 Colorful"/>
    <w:basedOn w:val="TableNormal"/>
    <w:uiPriority w:val="51"/>
    <w:rsid w:val="008B494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1">
    <w:name w:val="List Table 7 Colorful Accent 1"/>
    <w:basedOn w:val="TableNormal"/>
    <w:uiPriority w:val="52"/>
    <w:rsid w:val="008B494C"/>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D71253"/>
    <w:pPr>
      <w:ind w:left="720"/>
      <w:contextualSpacing/>
    </w:pPr>
  </w:style>
  <w:style w:type="paragraph" w:styleId="FootnoteText">
    <w:name w:val="footnote text"/>
    <w:basedOn w:val="Normal"/>
    <w:link w:val="FootnoteTextChar"/>
    <w:uiPriority w:val="99"/>
    <w:semiHidden/>
    <w:unhideWhenUsed/>
    <w:rsid w:val="002B6547"/>
    <w:rPr>
      <w:sz w:val="20"/>
      <w:szCs w:val="20"/>
    </w:rPr>
  </w:style>
  <w:style w:type="character" w:customStyle="1" w:styleId="FootnoteTextChar">
    <w:name w:val="Footnote Text Char"/>
    <w:basedOn w:val="DefaultParagraphFont"/>
    <w:link w:val="FootnoteText"/>
    <w:uiPriority w:val="99"/>
    <w:semiHidden/>
    <w:rsid w:val="002B6547"/>
    <w:rPr>
      <w:sz w:val="20"/>
      <w:szCs w:val="20"/>
    </w:rPr>
  </w:style>
  <w:style w:type="character" w:styleId="FootnoteReference">
    <w:name w:val="footnote reference"/>
    <w:basedOn w:val="DefaultParagraphFont"/>
    <w:uiPriority w:val="99"/>
    <w:semiHidden/>
    <w:unhideWhenUsed/>
    <w:rsid w:val="002B6547"/>
    <w:rPr>
      <w:vertAlign w:val="superscript"/>
    </w:rPr>
  </w:style>
  <w:style w:type="character" w:styleId="PlaceholderText">
    <w:name w:val="Placeholder Text"/>
    <w:basedOn w:val="DefaultParagraphFont"/>
    <w:uiPriority w:val="99"/>
    <w:semiHidden/>
    <w:rsid w:val="00D703FD"/>
    <w:rPr>
      <w:color w:val="808080"/>
    </w:rPr>
  </w:style>
  <w:style w:type="paragraph" w:styleId="NormalWeb">
    <w:name w:val="Normal (Web)"/>
    <w:basedOn w:val="Normal"/>
    <w:uiPriority w:val="99"/>
    <w:unhideWhenUsed/>
    <w:rsid w:val="00D777D9"/>
    <w:rPr>
      <w:rFonts w:ascii="Times New Roman" w:hAnsi="Times New Roman" w:cs="Times New Roman"/>
    </w:rPr>
  </w:style>
  <w:style w:type="paragraph" w:styleId="Header">
    <w:name w:val="header"/>
    <w:basedOn w:val="Normal"/>
    <w:link w:val="HeaderChar"/>
    <w:uiPriority w:val="99"/>
    <w:unhideWhenUsed/>
    <w:rsid w:val="006C40AC"/>
    <w:pPr>
      <w:tabs>
        <w:tab w:val="center" w:pos="4513"/>
        <w:tab w:val="right" w:pos="9026"/>
      </w:tabs>
    </w:pPr>
  </w:style>
  <w:style w:type="character" w:customStyle="1" w:styleId="HeaderChar">
    <w:name w:val="Header Char"/>
    <w:basedOn w:val="DefaultParagraphFont"/>
    <w:link w:val="Header"/>
    <w:uiPriority w:val="99"/>
    <w:rsid w:val="006C40AC"/>
  </w:style>
  <w:style w:type="paragraph" w:styleId="Footer">
    <w:name w:val="footer"/>
    <w:basedOn w:val="Normal"/>
    <w:link w:val="FooterChar"/>
    <w:uiPriority w:val="99"/>
    <w:unhideWhenUsed/>
    <w:rsid w:val="006C40AC"/>
    <w:pPr>
      <w:tabs>
        <w:tab w:val="center" w:pos="4513"/>
        <w:tab w:val="right" w:pos="9026"/>
      </w:tabs>
    </w:pPr>
  </w:style>
  <w:style w:type="character" w:customStyle="1" w:styleId="FooterChar">
    <w:name w:val="Footer Char"/>
    <w:basedOn w:val="DefaultParagraphFont"/>
    <w:link w:val="Footer"/>
    <w:uiPriority w:val="99"/>
    <w:rsid w:val="006C40AC"/>
  </w:style>
  <w:style w:type="table" w:styleId="GridTable7Colorful">
    <w:name w:val="Grid Table 7 Colorful"/>
    <w:basedOn w:val="TableNormal"/>
    <w:uiPriority w:val="52"/>
    <w:rsid w:val="00913B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3">
    <w:name w:val="Grid Table 7 Colorful Accent 3"/>
    <w:basedOn w:val="TableNormal"/>
    <w:uiPriority w:val="52"/>
    <w:rsid w:val="00913B60"/>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7Colorful-Accent3">
    <w:name w:val="List Table 7 Colorful Accent 3"/>
    <w:basedOn w:val="TableNormal"/>
    <w:uiPriority w:val="52"/>
    <w:rsid w:val="00913B60"/>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uthor">
    <w:name w:val="author"/>
    <w:basedOn w:val="DefaultParagraphFont"/>
    <w:rsid w:val="00D415F7"/>
  </w:style>
  <w:style w:type="character" w:customStyle="1" w:styleId="articletitle">
    <w:name w:val="articletitle"/>
    <w:basedOn w:val="DefaultParagraphFont"/>
    <w:rsid w:val="00D415F7"/>
  </w:style>
  <w:style w:type="character" w:customStyle="1" w:styleId="pubyear">
    <w:name w:val="pubyear"/>
    <w:basedOn w:val="DefaultParagraphFont"/>
    <w:rsid w:val="00D415F7"/>
  </w:style>
  <w:style w:type="character" w:customStyle="1" w:styleId="vol">
    <w:name w:val="vol"/>
    <w:basedOn w:val="DefaultParagraphFont"/>
    <w:rsid w:val="00D415F7"/>
  </w:style>
  <w:style w:type="character" w:customStyle="1" w:styleId="pagefirst">
    <w:name w:val="pagefirst"/>
    <w:basedOn w:val="DefaultParagraphFont"/>
    <w:rsid w:val="00D415F7"/>
  </w:style>
  <w:style w:type="character" w:customStyle="1" w:styleId="pagelast">
    <w:name w:val="pagelast"/>
    <w:basedOn w:val="DefaultParagraphFont"/>
    <w:rsid w:val="00D415F7"/>
  </w:style>
  <w:style w:type="character" w:customStyle="1" w:styleId="authors">
    <w:name w:val="authors"/>
    <w:basedOn w:val="DefaultParagraphFont"/>
    <w:rsid w:val="00D415F7"/>
  </w:style>
  <w:style w:type="character" w:customStyle="1" w:styleId="Date1">
    <w:name w:val="Date1"/>
    <w:basedOn w:val="DefaultParagraphFont"/>
    <w:rsid w:val="00D415F7"/>
  </w:style>
  <w:style w:type="character" w:customStyle="1" w:styleId="arttitle">
    <w:name w:val="art_title"/>
    <w:basedOn w:val="DefaultParagraphFont"/>
    <w:rsid w:val="00D415F7"/>
  </w:style>
  <w:style w:type="character" w:customStyle="1" w:styleId="serialtitle">
    <w:name w:val="serial_title"/>
    <w:basedOn w:val="DefaultParagraphFont"/>
    <w:rsid w:val="00D415F7"/>
  </w:style>
  <w:style w:type="character" w:customStyle="1" w:styleId="doilink">
    <w:name w:val="doi_link"/>
    <w:basedOn w:val="DefaultParagraphFont"/>
    <w:rsid w:val="00D415F7"/>
  </w:style>
  <w:style w:type="character" w:styleId="Hyperlink">
    <w:name w:val="Hyperlink"/>
    <w:basedOn w:val="DefaultParagraphFont"/>
    <w:uiPriority w:val="99"/>
    <w:semiHidden/>
    <w:unhideWhenUsed/>
    <w:rsid w:val="00D415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5528">
      <w:bodyDiv w:val="1"/>
      <w:marLeft w:val="0"/>
      <w:marRight w:val="0"/>
      <w:marTop w:val="0"/>
      <w:marBottom w:val="0"/>
      <w:divBdr>
        <w:top w:val="none" w:sz="0" w:space="0" w:color="auto"/>
        <w:left w:val="none" w:sz="0" w:space="0" w:color="auto"/>
        <w:bottom w:val="none" w:sz="0" w:space="0" w:color="auto"/>
        <w:right w:val="none" w:sz="0" w:space="0" w:color="auto"/>
      </w:divBdr>
    </w:div>
    <w:div w:id="184102800">
      <w:bodyDiv w:val="1"/>
      <w:marLeft w:val="0"/>
      <w:marRight w:val="0"/>
      <w:marTop w:val="0"/>
      <w:marBottom w:val="0"/>
      <w:divBdr>
        <w:top w:val="none" w:sz="0" w:space="0" w:color="auto"/>
        <w:left w:val="none" w:sz="0" w:space="0" w:color="auto"/>
        <w:bottom w:val="none" w:sz="0" w:space="0" w:color="auto"/>
        <w:right w:val="none" w:sz="0" w:space="0" w:color="auto"/>
      </w:divBdr>
      <w:divsChild>
        <w:div w:id="913053197">
          <w:marLeft w:val="0"/>
          <w:marRight w:val="0"/>
          <w:marTop w:val="0"/>
          <w:marBottom w:val="0"/>
          <w:divBdr>
            <w:top w:val="none" w:sz="0" w:space="0" w:color="auto"/>
            <w:left w:val="none" w:sz="0" w:space="0" w:color="auto"/>
            <w:bottom w:val="none" w:sz="0" w:space="0" w:color="auto"/>
            <w:right w:val="none" w:sz="0" w:space="0" w:color="auto"/>
          </w:divBdr>
          <w:divsChild>
            <w:div w:id="1001615596">
              <w:marLeft w:val="0"/>
              <w:marRight w:val="0"/>
              <w:marTop w:val="0"/>
              <w:marBottom w:val="0"/>
              <w:divBdr>
                <w:top w:val="none" w:sz="0" w:space="0" w:color="auto"/>
                <w:left w:val="none" w:sz="0" w:space="0" w:color="auto"/>
                <w:bottom w:val="none" w:sz="0" w:space="0" w:color="auto"/>
                <w:right w:val="none" w:sz="0" w:space="0" w:color="auto"/>
              </w:divBdr>
              <w:divsChild>
                <w:div w:id="17236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6672">
      <w:bodyDiv w:val="1"/>
      <w:marLeft w:val="0"/>
      <w:marRight w:val="0"/>
      <w:marTop w:val="0"/>
      <w:marBottom w:val="0"/>
      <w:divBdr>
        <w:top w:val="none" w:sz="0" w:space="0" w:color="auto"/>
        <w:left w:val="none" w:sz="0" w:space="0" w:color="auto"/>
        <w:bottom w:val="none" w:sz="0" w:space="0" w:color="auto"/>
        <w:right w:val="none" w:sz="0" w:space="0" w:color="auto"/>
      </w:divBdr>
      <w:divsChild>
        <w:div w:id="732849400">
          <w:marLeft w:val="0"/>
          <w:marRight w:val="0"/>
          <w:marTop w:val="0"/>
          <w:marBottom w:val="0"/>
          <w:divBdr>
            <w:top w:val="none" w:sz="0" w:space="0" w:color="auto"/>
            <w:left w:val="none" w:sz="0" w:space="0" w:color="auto"/>
            <w:bottom w:val="none" w:sz="0" w:space="0" w:color="auto"/>
            <w:right w:val="none" w:sz="0" w:space="0" w:color="auto"/>
          </w:divBdr>
          <w:divsChild>
            <w:div w:id="1532642013">
              <w:marLeft w:val="0"/>
              <w:marRight w:val="0"/>
              <w:marTop w:val="0"/>
              <w:marBottom w:val="0"/>
              <w:divBdr>
                <w:top w:val="none" w:sz="0" w:space="0" w:color="auto"/>
                <w:left w:val="none" w:sz="0" w:space="0" w:color="auto"/>
                <w:bottom w:val="none" w:sz="0" w:space="0" w:color="auto"/>
                <w:right w:val="none" w:sz="0" w:space="0" w:color="auto"/>
              </w:divBdr>
              <w:divsChild>
                <w:div w:id="105716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293464">
      <w:bodyDiv w:val="1"/>
      <w:marLeft w:val="0"/>
      <w:marRight w:val="0"/>
      <w:marTop w:val="0"/>
      <w:marBottom w:val="0"/>
      <w:divBdr>
        <w:top w:val="none" w:sz="0" w:space="0" w:color="auto"/>
        <w:left w:val="none" w:sz="0" w:space="0" w:color="auto"/>
        <w:bottom w:val="none" w:sz="0" w:space="0" w:color="auto"/>
        <w:right w:val="none" w:sz="0" w:space="0" w:color="auto"/>
      </w:divBdr>
      <w:divsChild>
        <w:div w:id="590700755">
          <w:marLeft w:val="0"/>
          <w:marRight w:val="0"/>
          <w:marTop w:val="0"/>
          <w:marBottom w:val="0"/>
          <w:divBdr>
            <w:top w:val="none" w:sz="0" w:space="0" w:color="auto"/>
            <w:left w:val="none" w:sz="0" w:space="0" w:color="auto"/>
            <w:bottom w:val="none" w:sz="0" w:space="0" w:color="auto"/>
            <w:right w:val="none" w:sz="0" w:space="0" w:color="auto"/>
          </w:divBdr>
          <w:divsChild>
            <w:div w:id="1634945640">
              <w:marLeft w:val="0"/>
              <w:marRight w:val="0"/>
              <w:marTop w:val="0"/>
              <w:marBottom w:val="0"/>
              <w:divBdr>
                <w:top w:val="none" w:sz="0" w:space="0" w:color="auto"/>
                <w:left w:val="none" w:sz="0" w:space="0" w:color="auto"/>
                <w:bottom w:val="none" w:sz="0" w:space="0" w:color="auto"/>
                <w:right w:val="none" w:sz="0" w:space="0" w:color="auto"/>
              </w:divBdr>
              <w:divsChild>
                <w:div w:id="67118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814289">
      <w:bodyDiv w:val="1"/>
      <w:marLeft w:val="0"/>
      <w:marRight w:val="0"/>
      <w:marTop w:val="0"/>
      <w:marBottom w:val="0"/>
      <w:divBdr>
        <w:top w:val="none" w:sz="0" w:space="0" w:color="auto"/>
        <w:left w:val="none" w:sz="0" w:space="0" w:color="auto"/>
        <w:bottom w:val="none" w:sz="0" w:space="0" w:color="auto"/>
        <w:right w:val="none" w:sz="0" w:space="0" w:color="auto"/>
      </w:divBdr>
      <w:divsChild>
        <w:div w:id="1088769564">
          <w:marLeft w:val="0"/>
          <w:marRight w:val="0"/>
          <w:marTop w:val="0"/>
          <w:marBottom w:val="0"/>
          <w:divBdr>
            <w:top w:val="none" w:sz="0" w:space="0" w:color="auto"/>
            <w:left w:val="none" w:sz="0" w:space="0" w:color="auto"/>
            <w:bottom w:val="none" w:sz="0" w:space="0" w:color="auto"/>
            <w:right w:val="none" w:sz="0" w:space="0" w:color="auto"/>
          </w:divBdr>
          <w:divsChild>
            <w:div w:id="517504127">
              <w:marLeft w:val="0"/>
              <w:marRight w:val="0"/>
              <w:marTop w:val="0"/>
              <w:marBottom w:val="0"/>
              <w:divBdr>
                <w:top w:val="none" w:sz="0" w:space="0" w:color="auto"/>
                <w:left w:val="none" w:sz="0" w:space="0" w:color="auto"/>
                <w:bottom w:val="none" w:sz="0" w:space="0" w:color="auto"/>
                <w:right w:val="none" w:sz="0" w:space="0" w:color="auto"/>
              </w:divBdr>
              <w:divsChild>
                <w:div w:id="81259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326792">
      <w:bodyDiv w:val="1"/>
      <w:marLeft w:val="0"/>
      <w:marRight w:val="0"/>
      <w:marTop w:val="0"/>
      <w:marBottom w:val="0"/>
      <w:divBdr>
        <w:top w:val="none" w:sz="0" w:space="0" w:color="auto"/>
        <w:left w:val="none" w:sz="0" w:space="0" w:color="auto"/>
        <w:bottom w:val="none" w:sz="0" w:space="0" w:color="auto"/>
        <w:right w:val="none" w:sz="0" w:space="0" w:color="auto"/>
      </w:divBdr>
      <w:divsChild>
        <w:div w:id="738551162">
          <w:marLeft w:val="0"/>
          <w:marRight w:val="0"/>
          <w:marTop w:val="0"/>
          <w:marBottom w:val="0"/>
          <w:divBdr>
            <w:top w:val="none" w:sz="0" w:space="0" w:color="auto"/>
            <w:left w:val="none" w:sz="0" w:space="0" w:color="auto"/>
            <w:bottom w:val="none" w:sz="0" w:space="0" w:color="auto"/>
            <w:right w:val="none" w:sz="0" w:space="0" w:color="auto"/>
          </w:divBdr>
          <w:divsChild>
            <w:div w:id="449125369">
              <w:marLeft w:val="0"/>
              <w:marRight w:val="0"/>
              <w:marTop w:val="0"/>
              <w:marBottom w:val="0"/>
              <w:divBdr>
                <w:top w:val="none" w:sz="0" w:space="0" w:color="auto"/>
                <w:left w:val="none" w:sz="0" w:space="0" w:color="auto"/>
                <w:bottom w:val="none" w:sz="0" w:space="0" w:color="auto"/>
                <w:right w:val="none" w:sz="0" w:space="0" w:color="auto"/>
              </w:divBdr>
              <w:divsChild>
                <w:div w:id="11797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139522">
      <w:bodyDiv w:val="1"/>
      <w:marLeft w:val="0"/>
      <w:marRight w:val="0"/>
      <w:marTop w:val="0"/>
      <w:marBottom w:val="0"/>
      <w:divBdr>
        <w:top w:val="none" w:sz="0" w:space="0" w:color="auto"/>
        <w:left w:val="none" w:sz="0" w:space="0" w:color="auto"/>
        <w:bottom w:val="none" w:sz="0" w:space="0" w:color="auto"/>
        <w:right w:val="none" w:sz="0" w:space="0" w:color="auto"/>
      </w:divBdr>
      <w:divsChild>
        <w:div w:id="111749194">
          <w:marLeft w:val="0"/>
          <w:marRight w:val="0"/>
          <w:marTop w:val="0"/>
          <w:marBottom w:val="0"/>
          <w:divBdr>
            <w:top w:val="none" w:sz="0" w:space="0" w:color="auto"/>
            <w:left w:val="none" w:sz="0" w:space="0" w:color="auto"/>
            <w:bottom w:val="none" w:sz="0" w:space="0" w:color="auto"/>
            <w:right w:val="none" w:sz="0" w:space="0" w:color="auto"/>
          </w:divBdr>
        </w:div>
      </w:divsChild>
    </w:div>
    <w:div w:id="1021666978">
      <w:bodyDiv w:val="1"/>
      <w:marLeft w:val="0"/>
      <w:marRight w:val="0"/>
      <w:marTop w:val="0"/>
      <w:marBottom w:val="0"/>
      <w:divBdr>
        <w:top w:val="none" w:sz="0" w:space="0" w:color="auto"/>
        <w:left w:val="none" w:sz="0" w:space="0" w:color="auto"/>
        <w:bottom w:val="none" w:sz="0" w:space="0" w:color="auto"/>
        <w:right w:val="none" w:sz="0" w:space="0" w:color="auto"/>
      </w:divBdr>
      <w:divsChild>
        <w:div w:id="1818913811">
          <w:marLeft w:val="0"/>
          <w:marRight w:val="0"/>
          <w:marTop w:val="0"/>
          <w:marBottom w:val="0"/>
          <w:divBdr>
            <w:top w:val="none" w:sz="0" w:space="0" w:color="auto"/>
            <w:left w:val="none" w:sz="0" w:space="0" w:color="auto"/>
            <w:bottom w:val="none" w:sz="0" w:space="0" w:color="auto"/>
            <w:right w:val="none" w:sz="0" w:space="0" w:color="auto"/>
          </w:divBdr>
          <w:divsChild>
            <w:div w:id="1685815044">
              <w:marLeft w:val="0"/>
              <w:marRight w:val="0"/>
              <w:marTop w:val="0"/>
              <w:marBottom w:val="0"/>
              <w:divBdr>
                <w:top w:val="none" w:sz="0" w:space="0" w:color="auto"/>
                <w:left w:val="none" w:sz="0" w:space="0" w:color="auto"/>
                <w:bottom w:val="none" w:sz="0" w:space="0" w:color="auto"/>
                <w:right w:val="none" w:sz="0" w:space="0" w:color="auto"/>
              </w:divBdr>
              <w:divsChild>
                <w:div w:id="1960263523">
                  <w:marLeft w:val="0"/>
                  <w:marRight w:val="0"/>
                  <w:marTop w:val="0"/>
                  <w:marBottom w:val="0"/>
                  <w:divBdr>
                    <w:top w:val="none" w:sz="0" w:space="0" w:color="auto"/>
                    <w:left w:val="none" w:sz="0" w:space="0" w:color="auto"/>
                    <w:bottom w:val="none" w:sz="0" w:space="0" w:color="auto"/>
                    <w:right w:val="none" w:sz="0" w:space="0" w:color="auto"/>
                  </w:divBdr>
                  <w:divsChild>
                    <w:div w:id="213675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716387">
      <w:bodyDiv w:val="1"/>
      <w:marLeft w:val="0"/>
      <w:marRight w:val="0"/>
      <w:marTop w:val="0"/>
      <w:marBottom w:val="0"/>
      <w:divBdr>
        <w:top w:val="none" w:sz="0" w:space="0" w:color="auto"/>
        <w:left w:val="none" w:sz="0" w:space="0" w:color="auto"/>
        <w:bottom w:val="none" w:sz="0" w:space="0" w:color="auto"/>
        <w:right w:val="none" w:sz="0" w:space="0" w:color="auto"/>
      </w:divBdr>
      <w:divsChild>
        <w:div w:id="1621110882">
          <w:marLeft w:val="0"/>
          <w:marRight w:val="0"/>
          <w:marTop w:val="0"/>
          <w:marBottom w:val="0"/>
          <w:divBdr>
            <w:top w:val="none" w:sz="0" w:space="0" w:color="auto"/>
            <w:left w:val="none" w:sz="0" w:space="0" w:color="auto"/>
            <w:bottom w:val="none" w:sz="0" w:space="0" w:color="auto"/>
            <w:right w:val="none" w:sz="0" w:space="0" w:color="auto"/>
          </w:divBdr>
          <w:divsChild>
            <w:div w:id="1297952767">
              <w:marLeft w:val="0"/>
              <w:marRight w:val="0"/>
              <w:marTop w:val="0"/>
              <w:marBottom w:val="0"/>
              <w:divBdr>
                <w:top w:val="none" w:sz="0" w:space="0" w:color="auto"/>
                <w:left w:val="none" w:sz="0" w:space="0" w:color="auto"/>
                <w:bottom w:val="none" w:sz="0" w:space="0" w:color="auto"/>
                <w:right w:val="none" w:sz="0" w:space="0" w:color="auto"/>
              </w:divBdr>
              <w:divsChild>
                <w:div w:id="54364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560734">
      <w:bodyDiv w:val="1"/>
      <w:marLeft w:val="0"/>
      <w:marRight w:val="0"/>
      <w:marTop w:val="0"/>
      <w:marBottom w:val="0"/>
      <w:divBdr>
        <w:top w:val="none" w:sz="0" w:space="0" w:color="auto"/>
        <w:left w:val="none" w:sz="0" w:space="0" w:color="auto"/>
        <w:bottom w:val="none" w:sz="0" w:space="0" w:color="auto"/>
        <w:right w:val="none" w:sz="0" w:space="0" w:color="auto"/>
      </w:divBdr>
      <w:divsChild>
        <w:div w:id="752238298">
          <w:marLeft w:val="0"/>
          <w:marRight w:val="0"/>
          <w:marTop w:val="0"/>
          <w:marBottom w:val="0"/>
          <w:divBdr>
            <w:top w:val="none" w:sz="0" w:space="0" w:color="auto"/>
            <w:left w:val="none" w:sz="0" w:space="0" w:color="auto"/>
            <w:bottom w:val="none" w:sz="0" w:space="0" w:color="auto"/>
            <w:right w:val="none" w:sz="0" w:space="0" w:color="auto"/>
          </w:divBdr>
          <w:divsChild>
            <w:div w:id="1272005898">
              <w:marLeft w:val="0"/>
              <w:marRight w:val="0"/>
              <w:marTop w:val="0"/>
              <w:marBottom w:val="0"/>
              <w:divBdr>
                <w:top w:val="none" w:sz="0" w:space="0" w:color="auto"/>
                <w:left w:val="none" w:sz="0" w:space="0" w:color="auto"/>
                <w:bottom w:val="none" w:sz="0" w:space="0" w:color="auto"/>
                <w:right w:val="none" w:sz="0" w:space="0" w:color="auto"/>
              </w:divBdr>
              <w:divsChild>
                <w:div w:id="3034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471888">
      <w:bodyDiv w:val="1"/>
      <w:marLeft w:val="0"/>
      <w:marRight w:val="0"/>
      <w:marTop w:val="0"/>
      <w:marBottom w:val="0"/>
      <w:divBdr>
        <w:top w:val="none" w:sz="0" w:space="0" w:color="auto"/>
        <w:left w:val="none" w:sz="0" w:space="0" w:color="auto"/>
        <w:bottom w:val="none" w:sz="0" w:space="0" w:color="auto"/>
        <w:right w:val="none" w:sz="0" w:space="0" w:color="auto"/>
      </w:divBdr>
      <w:divsChild>
        <w:div w:id="38365227">
          <w:marLeft w:val="0"/>
          <w:marRight w:val="0"/>
          <w:marTop w:val="0"/>
          <w:marBottom w:val="0"/>
          <w:divBdr>
            <w:top w:val="none" w:sz="0" w:space="0" w:color="auto"/>
            <w:left w:val="none" w:sz="0" w:space="0" w:color="auto"/>
            <w:bottom w:val="none" w:sz="0" w:space="0" w:color="auto"/>
            <w:right w:val="none" w:sz="0" w:space="0" w:color="auto"/>
          </w:divBdr>
          <w:divsChild>
            <w:div w:id="1770542826">
              <w:marLeft w:val="0"/>
              <w:marRight w:val="0"/>
              <w:marTop w:val="0"/>
              <w:marBottom w:val="0"/>
              <w:divBdr>
                <w:top w:val="none" w:sz="0" w:space="0" w:color="auto"/>
                <w:left w:val="none" w:sz="0" w:space="0" w:color="auto"/>
                <w:bottom w:val="none" w:sz="0" w:space="0" w:color="auto"/>
                <w:right w:val="none" w:sz="0" w:space="0" w:color="auto"/>
              </w:divBdr>
              <w:divsChild>
                <w:div w:id="18981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1971">
      <w:bodyDiv w:val="1"/>
      <w:marLeft w:val="0"/>
      <w:marRight w:val="0"/>
      <w:marTop w:val="0"/>
      <w:marBottom w:val="0"/>
      <w:divBdr>
        <w:top w:val="none" w:sz="0" w:space="0" w:color="auto"/>
        <w:left w:val="none" w:sz="0" w:space="0" w:color="auto"/>
        <w:bottom w:val="none" w:sz="0" w:space="0" w:color="auto"/>
        <w:right w:val="none" w:sz="0" w:space="0" w:color="auto"/>
      </w:divBdr>
      <w:divsChild>
        <w:div w:id="53554835">
          <w:marLeft w:val="0"/>
          <w:marRight w:val="0"/>
          <w:marTop w:val="0"/>
          <w:marBottom w:val="0"/>
          <w:divBdr>
            <w:top w:val="none" w:sz="0" w:space="0" w:color="auto"/>
            <w:left w:val="none" w:sz="0" w:space="0" w:color="auto"/>
            <w:bottom w:val="none" w:sz="0" w:space="0" w:color="auto"/>
            <w:right w:val="none" w:sz="0" w:space="0" w:color="auto"/>
          </w:divBdr>
          <w:divsChild>
            <w:div w:id="1208180272">
              <w:marLeft w:val="0"/>
              <w:marRight w:val="0"/>
              <w:marTop w:val="0"/>
              <w:marBottom w:val="0"/>
              <w:divBdr>
                <w:top w:val="none" w:sz="0" w:space="0" w:color="auto"/>
                <w:left w:val="none" w:sz="0" w:space="0" w:color="auto"/>
                <w:bottom w:val="none" w:sz="0" w:space="0" w:color="auto"/>
                <w:right w:val="none" w:sz="0" w:space="0" w:color="auto"/>
              </w:divBdr>
              <w:divsChild>
                <w:div w:id="11891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303780">
      <w:bodyDiv w:val="1"/>
      <w:marLeft w:val="0"/>
      <w:marRight w:val="0"/>
      <w:marTop w:val="0"/>
      <w:marBottom w:val="0"/>
      <w:divBdr>
        <w:top w:val="none" w:sz="0" w:space="0" w:color="auto"/>
        <w:left w:val="none" w:sz="0" w:space="0" w:color="auto"/>
        <w:bottom w:val="none" w:sz="0" w:space="0" w:color="auto"/>
        <w:right w:val="none" w:sz="0" w:space="0" w:color="auto"/>
      </w:divBdr>
      <w:divsChild>
        <w:div w:id="1441870777">
          <w:marLeft w:val="0"/>
          <w:marRight w:val="0"/>
          <w:marTop w:val="0"/>
          <w:marBottom w:val="0"/>
          <w:divBdr>
            <w:top w:val="none" w:sz="0" w:space="0" w:color="auto"/>
            <w:left w:val="none" w:sz="0" w:space="0" w:color="auto"/>
            <w:bottom w:val="none" w:sz="0" w:space="0" w:color="auto"/>
            <w:right w:val="none" w:sz="0" w:space="0" w:color="auto"/>
          </w:divBdr>
          <w:divsChild>
            <w:div w:id="9576599">
              <w:marLeft w:val="0"/>
              <w:marRight w:val="0"/>
              <w:marTop w:val="0"/>
              <w:marBottom w:val="0"/>
              <w:divBdr>
                <w:top w:val="none" w:sz="0" w:space="0" w:color="auto"/>
                <w:left w:val="none" w:sz="0" w:space="0" w:color="auto"/>
                <w:bottom w:val="none" w:sz="0" w:space="0" w:color="auto"/>
                <w:right w:val="none" w:sz="0" w:space="0" w:color="auto"/>
              </w:divBdr>
              <w:divsChild>
                <w:div w:id="138918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835432">
      <w:bodyDiv w:val="1"/>
      <w:marLeft w:val="0"/>
      <w:marRight w:val="0"/>
      <w:marTop w:val="0"/>
      <w:marBottom w:val="0"/>
      <w:divBdr>
        <w:top w:val="none" w:sz="0" w:space="0" w:color="auto"/>
        <w:left w:val="none" w:sz="0" w:space="0" w:color="auto"/>
        <w:bottom w:val="none" w:sz="0" w:space="0" w:color="auto"/>
        <w:right w:val="none" w:sz="0" w:space="0" w:color="auto"/>
      </w:divBdr>
      <w:divsChild>
        <w:div w:id="1176075072">
          <w:marLeft w:val="0"/>
          <w:marRight w:val="0"/>
          <w:marTop w:val="0"/>
          <w:marBottom w:val="0"/>
          <w:divBdr>
            <w:top w:val="none" w:sz="0" w:space="0" w:color="auto"/>
            <w:left w:val="none" w:sz="0" w:space="0" w:color="auto"/>
            <w:bottom w:val="none" w:sz="0" w:space="0" w:color="auto"/>
            <w:right w:val="none" w:sz="0" w:space="0" w:color="auto"/>
          </w:divBdr>
          <w:divsChild>
            <w:div w:id="1851865988">
              <w:marLeft w:val="0"/>
              <w:marRight w:val="0"/>
              <w:marTop w:val="0"/>
              <w:marBottom w:val="0"/>
              <w:divBdr>
                <w:top w:val="none" w:sz="0" w:space="0" w:color="auto"/>
                <w:left w:val="none" w:sz="0" w:space="0" w:color="auto"/>
                <w:bottom w:val="none" w:sz="0" w:space="0" w:color="auto"/>
                <w:right w:val="none" w:sz="0" w:space="0" w:color="auto"/>
              </w:divBdr>
              <w:divsChild>
                <w:div w:id="122618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86999">
      <w:bodyDiv w:val="1"/>
      <w:marLeft w:val="0"/>
      <w:marRight w:val="0"/>
      <w:marTop w:val="0"/>
      <w:marBottom w:val="0"/>
      <w:divBdr>
        <w:top w:val="none" w:sz="0" w:space="0" w:color="auto"/>
        <w:left w:val="none" w:sz="0" w:space="0" w:color="auto"/>
        <w:bottom w:val="none" w:sz="0" w:space="0" w:color="auto"/>
        <w:right w:val="none" w:sz="0" w:space="0" w:color="auto"/>
      </w:divBdr>
      <w:divsChild>
        <w:div w:id="317341476">
          <w:marLeft w:val="0"/>
          <w:marRight w:val="0"/>
          <w:marTop w:val="0"/>
          <w:marBottom w:val="0"/>
          <w:divBdr>
            <w:top w:val="none" w:sz="0" w:space="0" w:color="auto"/>
            <w:left w:val="none" w:sz="0" w:space="0" w:color="auto"/>
            <w:bottom w:val="none" w:sz="0" w:space="0" w:color="auto"/>
            <w:right w:val="none" w:sz="0" w:space="0" w:color="auto"/>
          </w:divBdr>
          <w:divsChild>
            <w:div w:id="2042243946">
              <w:marLeft w:val="0"/>
              <w:marRight w:val="0"/>
              <w:marTop w:val="0"/>
              <w:marBottom w:val="0"/>
              <w:divBdr>
                <w:top w:val="none" w:sz="0" w:space="0" w:color="auto"/>
                <w:left w:val="none" w:sz="0" w:space="0" w:color="auto"/>
                <w:bottom w:val="none" w:sz="0" w:space="0" w:color="auto"/>
                <w:right w:val="none" w:sz="0" w:space="0" w:color="auto"/>
              </w:divBdr>
              <w:divsChild>
                <w:div w:id="141685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389199">
      <w:bodyDiv w:val="1"/>
      <w:marLeft w:val="0"/>
      <w:marRight w:val="0"/>
      <w:marTop w:val="0"/>
      <w:marBottom w:val="0"/>
      <w:divBdr>
        <w:top w:val="none" w:sz="0" w:space="0" w:color="auto"/>
        <w:left w:val="none" w:sz="0" w:space="0" w:color="auto"/>
        <w:bottom w:val="none" w:sz="0" w:space="0" w:color="auto"/>
        <w:right w:val="none" w:sz="0" w:space="0" w:color="auto"/>
      </w:divBdr>
      <w:divsChild>
        <w:div w:id="1247110047">
          <w:marLeft w:val="0"/>
          <w:marRight w:val="0"/>
          <w:marTop w:val="0"/>
          <w:marBottom w:val="0"/>
          <w:divBdr>
            <w:top w:val="none" w:sz="0" w:space="0" w:color="auto"/>
            <w:left w:val="none" w:sz="0" w:space="0" w:color="auto"/>
            <w:bottom w:val="none" w:sz="0" w:space="0" w:color="auto"/>
            <w:right w:val="none" w:sz="0" w:space="0" w:color="auto"/>
          </w:divBdr>
          <w:divsChild>
            <w:div w:id="1884709166">
              <w:marLeft w:val="0"/>
              <w:marRight w:val="0"/>
              <w:marTop w:val="0"/>
              <w:marBottom w:val="0"/>
              <w:divBdr>
                <w:top w:val="none" w:sz="0" w:space="0" w:color="auto"/>
                <w:left w:val="none" w:sz="0" w:space="0" w:color="auto"/>
                <w:bottom w:val="none" w:sz="0" w:space="0" w:color="auto"/>
                <w:right w:val="none" w:sz="0" w:space="0" w:color="auto"/>
              </w:divBdr>
              <w:divsChild>
                <w:div w:id="164110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24370">
      <w:bodyDiv w:val="1"/>
      <w:marLeft w:val="0"/>
      <w:marRight w:val="0"/>
      <w:marTop w:val="0"/>
      <w:marBottom w:val="0"/>
      <w:divBdr>
        <w:top w:val="none" w:sz="0" w:space="0" w:color="auto"/>
        <w:left w:val="none" w:sz="0" w:space="0" w:color="auto"/>
        <w:bottom w:val="none" w:sz="0" w:space="0" w:color="auto"/>
        <w:right w:val="none" w:sz="0" w:space="0" w:color="auto"/>
      </w:divBdr>
    </w:div>
    <w:div w:id="2121875493">
      <w:bodyDiv w:val="1"/>
      <w:marLeft w:val="0"/>
      <w:marRight w:val="0"/>
      <w:marTop w:val="0"/>
      <w:marBottom w:val="0"/>
      <w:divBdr>
        <w:top w:val="none" w:sz="0" w:space="0" w:color="auto"/>
        <w:left w:val="none" w:sz="0" w:space="0" w:color="auto"/>
        <w:bottom w:val="none" w:sz="0" w:space="0" w:color="auto"/>
        <w:right w:val="none" w:sz="0" w:space="0" w:color="auto"/>
      </w:divBdr>
      <w:divsChild>
        <w:div w:id="911159019">
          <w:marLeft w:val="0"/>
          <w:marRight w:val="0"/>
          <w:marTop w:val="0"/>
          <w:marBottom w:val="0"/>
          <w:divBdr>
            <w:top w:val="none" w:sz="0" w:space="0" w:color="auto"/>
            <w:left w:val="none" w:sz="0" w:space="0" w:color="auto"/>
            <w:bottom w:val="none" w:sz="0" w:space="0" w:color="auto"/>
            <w:right w:val="none" w:sz="0" w:space="0" w:color="auto"/>
          </w:divBdr>
          <w:divsChild>
            <w:div w:id="1141267711">
              <w:marLeft w:val="0"/>
              <w:marRight w:val="0"/>
              <w:marTop w:val="0"/>
              <w:marBottom w:val="0"/>
              <w:divBdr>
                <w:top w:val="none" w:sz="0" w:space="0" w:color="auto"/>
                <w:left w:val="none" w:sz="0" w:space="0" w:color="auto"/>
                <w:bottom w:val="none" w:sz="0" w:space="0" w:color="auto"/>
                <w:right w:val="none" w:sz="0" w:space="0" w:color="auto"/>
              </w:divBdr>
              <w:divsChild>
                <w:div w:id="15554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6081625.2022.205443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CAAE4-4988-6C47-B7A2-D200976D0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5235</Words>
  <Characters>29842</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David McMillan</cp:lastModifiedBy>
  <cp:revision>2</cp:revision>
  <dcterms:created xsi:type="dcterms:W3CDTF">2023-05-10T09:25:00Z</dcterms:created>
  <dcterms:modified xsi:type="dcterms:W3CDTF">2023-05-10T09:25:00Z</dcterms:modified>
</cp:coreProperties>
</file>